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276D5" w14:textId="0CA98B71" w:rsidR="00D07C27" w:rsidRDefault="00EC3D26" w:rsidP="00840188">
      <w:pPr>
        <w:pStyle w:val="Heading1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议程项目</w:t>
      </w:r>
      <w:r>
        <w:rPr>
          <w:rFonts w:hint="eastAsia"/>
        </w:rPr>
        <w:t xml:space="preserve"> 2</w:t>
      </w:r>
      <w:r w:rsidR="00CD3B8C">
        <w:rPr>
          <w:rFonts w:hint="eastAsia"/>
        </w:rPr>
        <w:t>6</w:t>
      </w:r>
      <w:r>
        <w:rPr>
          <w:rFonts w:hint="eastAsia"/>
        </w:rPr>
        <w:t>：问责制</w:t>
      </w:r>
      <w:r>
        <w:rPr>
          <w:rFonts w:hint="eastAsia"/>
        </w:rPr>
        <w:t xml:space="preserve"> CCWG </w:t>
      </w:r>
      <w:r>
        <w:rPr>
          <w:rFonts w:hint="eastAsia"/>
        </w:rPr>
        <w:t>第</w:t>
      </w:r>
      <w:r>
        <w:rPr>
          <w:rFonts w:hint="eastAsia"/>
        </w:rPr>
        <w:t xml:space="preserve"> 2 </w:t>
      </w:r>
      <w:r>
        <w:rPr>
          <w:rFonts w:hint="eastAsia"/>
        </w:rPr>
        <w:t>工作阶段最新动态</w:t>
      </w:r>
    </w:p>
    <w:p w14:paraId="7716CEA6" w14:textId="1BB4E9E2" w:rsidR="00E00260" w:rsidRPr="00E00260" w:rsidRDefault="00E00260" w:rsidP="00840188">
      <w:pPr>
        <w:pStyle w:val="Heading2"/>
        <w:overflowPunct w:val="0"/>
        <w:autoSpaceDE w:val="0"/>
        <w:autoSpaceDN w:val="0"/>
        <w:ind w:right="0"/>
        <w:rPr>
          <w:rFonts w:hint="eastAsia"/>
          <w:sz w:val="20"/>
          <w:szCs w:val="20"/>
        </w:rPr>
      </w:pPr>
      <w:r>
        <w:rPr>
          <w:rFonts w:hint="eastAsia"/>
        </w:rPr>
        <w:t>注：</w:t>
      </w:r>
      <w:r>
        <w:rPr>
          <w:rFonts w:hint="eastAsia"/>
          <w:color w:val="000000" w:themeColor="text1"/>
          <w:sz w:val="20"/>
          <w:szCs w:val="20"/>
        </w:rPr>
        <w:t>本简报中的信息需要在</w:t>
      </w:r>
      <w:r>
        <w:rPr>
          <w:rFonts w:hint="eastAsia"/>
          <w:color w:val="000000" w:themeColor="text1"/>
          <w:sz w:val="20"/>
          <w:szCs w:val="20"/>
        </w:rPr>
        <w:t xml:space="preserve"> GAC </w:t>
      </w:r>
      <w:r>
        <w:rPr>
          <w:rFonts w:hint="eastAsia"/>
          <w:color w:val="000000" w:themeColor="text1"/>
          <w:sz w:val="20"/>
          <w:szCs w:val="20"/>
        </w:rPr>
        <w:t>会议上进行更新，将</w:t>
      </w:r>
      <w:r>
        <w:rPr>
          <w:rFonts w:hint="eastAsia"/>
          <w:color w:val="000000" w:themeColor="text1"/>
          <w:sz w:val="20"/>
          <w:szCs w:val="20"/>
        </w:rPr>
        <w:t xml:space="preserve"> 2018 </w:t>
      </w:r>
      <w:r>
        <w:rPr>
          <w:rFonts w:hint="eastAsia"/>
          <w:color w:val="000000" w:themeColor="text1"/>
          <w:sz w:val="20"/>
          <w:szCs w:val="20"/>
        </w:rPr>
        <w:t>年</w:t>
      </w:r>
      <w:r>
        <w:rPr>
          <w:rFonts w:hint="eastAsia"/>
          <w:color w:val="000000" w:themeColor="text1"/>
          <w:sz w:val="20"/>
          <w:szCs w:val="20"/>
        </w:rPr>
        <w:t xml:space="preserve"> 6 </w:t>
      </w:r>
      <w:r>
        <w:rPr>
          <w:rFonts w:hint="eastAsia"/>
          <w:color w:val="000000" w:themeColor="text1"/>
          <w:sz w:val="20"/>
          <w:szCs w:val="20"/>
        </w:rPr>
        <w:t>月</w:t>
      </w:r>
      <w:r>
        <w:rPr>
          <w:rFonts w:hint="eastAsia"/>
          <w:color w:val="000000" w:themeColor="text1"/>
          <w:sz w:val="20"/>
          <w:szCs w:val="20"/>
        </w:rPr>
        <w:t xml:space="preserve"> 24 </w:t>
      </w:r>
      <w:r>
        <w:rPr>
          <w:rFonts w:hint="eastAsia"/>
          <w:color w:val="000000" w:themeColor="text1"/>
          <w:sz w:val="20"/>
          <w:szCs w:val="20"/>
        </w:rPr>
        <w:t>日（星期日）问责制</w:t>
      </w:r>
      <w:r>
        <w:rPr>
          <w:rFonts w:hint="eastAsia"/>
          <w:color w:val="000000" w:themeColor="text1"/>
          <w:sz w:val="20"/>
          <w:szCs w:val="20"/>
        </w:rPr>
        <w:t xml:space="preserve"> CCWG </w:t>
      </w:r>
      <w:r>
        <w:rPr>
          <w:rFonts w:hint="eastAsia"/>
          <w:color w:val="000000" w:themeColor="text1"/>
          <w:sz w:val="20"/>
          <w:szCs w:val="20"/>
        </w:rPr>
        <w:t>在巴拿马城的面对面会议考虑在内。</w:t>
      </w:r>
    </w:p>
    <w:p w14:paraId="4ABE83AD" w14:textId="0C1E079D" w:rsidR="00E13252" w:rsidRDefault="00E13252" w:rsidP="00840188">
      <w:pPr>
        <w:pStyle w:val="Heading2"/>
        <w:overflowPunct w:val="0"/>
        <w:autoSpaceDE w:val="0"/>
        <w:autoSpaceDN w:val="0"/>
        <w:ind w:right="0"/>
        <w:rPr>
          <w:rFonts w:hint="eastAsia"/>
        </w:rPr>
      </w:pPr>
      <w:r>
        <w:rPr>
          <w:rFonts w:hint="eastAsia"/>
        </w:rPr>
        <w:t>议题</w:t>
      </w:r>
    </w:p>
    <w:p w14:paraId="70D8BD1F" w14:textId="43E77599" w:rsidR="00E00260" w:rsidRDefault="00A92158" w:rsidP="00840188">
      <w:pPr>
        <w:pStyle w:val="ListParagraph"/>
        <w:numPr>
          <w:ilvl w:val="0"/>
          <w:numId w:val="5"/>
        </w:numPr>
        <w:overflowPunct w:val="0"/>
        <w:autoSpaceDE w:val="0"/>
        <w:autoSpaceDN w:val="0"/>
        <w:ind w:left="714" w:hanging="357"/>
        <w:rPr>
          <w:rFonts w:hint="eastAsia"/>
          <w:szCs w:val="20"/>
        </w:rPr>
      </w:pPr>
      <w:r>
        <w:rPr>
          <w:rFonts w:hint="eastAsia"/>
        </w:rPr>
        <w:t>来自</w:t>
      </w:r>
      <w:r>
        <w:rPr>
          <w:rFonts w:hint="eastAsia"/>
        </w:rPr>
        <w:t xml:space="preserve"> GAC </w:t>
      </w:r>
      <w:r>
        <w:rPr>
          <w:rFonts w:hint="eastAsia"/>
        </w:rPr>
        <w:t>委派</w:t>
      </w:r>
      <w:proofErr w:type="gramStart"/>
      <w:r>
        <w:rPr>
          <w:rFonts w:hint="eastAsia"/>
        </w:rPr>
        <w:t>参与问</w:t>
      </w:r>
      <w:proofErr w:type="gramEnd"/>
      <w:r>
        <w:rPr>
          <w:rFonts w:hint="eastAsia"/>
        </w:rPr>
        <w:t>责制</w:t>
      </w:r>
      <w:r>
        <w:rPr>
          <w:rFonts w:hint="eastAsia"/>
        </w:rPr>
        <w:t xml:space="preserve"> CCWG </w:t>
      </w:r>
      <w:r>
        <w:rPr>
          <w:rFonts w:hint="eastAsia"/>
        </w:rPr>
        <w:t>第</w:t>
      </w:r>
      <w:r>
        <w:rPr>
          <w:rFonts w:hint="eastAsia"/>
        </w:rPr>
        <w:t xml:space="preserve"> 2 </w:t>
      </w:r>
      <w:r>
        <w:rPr>
          <w:rFonts w:hint="eastAsia"/>
        </w:rPr>
        <w:t>工作阶段</w:t>
      </w:r>
      <w:r>
        <w:rPr>
          <w:rFonts w:hint="eastAsia"/>
        </w:rPr>
        <w:t xml:space="preserve"> (WS2) </w:t>
      </w:r>
      <w:r>
        <w:rPr>
          <w:rFonts w:hint="eastAsia"/>
        </w:rPr>
        <w:t>的成员的报告。</w:t>
      </w:r>
    </w:p>
    <w:p w14:paraId="2EEF2ED9" w14:textId="75E7E1B9" w:rsidR="00023E59" w:rsidRPr="00A92158" w:rsidRDefault="00A92158" w:rsidP="00840188">
      <w:pPr>
        <w:pStyle w:val="ListParagraph"/>
        <w:numPr>
          <w:ilvl w:val="0"/>
          <w:numId w:val="5"/>
        </w:numPr>
        <w:overflowPunct w:val="0"/>
        <w:autoSpaceDE w:val="0"/>
        <w:autoSpaceDN w:val="0"/>
        <w:ind w:left="714" w:hanging="357"/>
        <w:rPr>
          <w:rFonts w:hint="eastAsia"/>
          <w:szCs w:val="20"/>
        </w:rPr>
      </w:pPr>
      <w:r>
        <w:rPr>
          <w:rFonts w:hint="eastAsia"/>
        </w:rPr>
        <w:t xml:space="preserve">CCWG WS2 </w:t>
      </w:r>
      <w:r>
        <w:rPr>
          <w:rFonts w:hint="eastAsia"/>
        </w:rPr>
        <w:t>最终报告和建议。</w:t>
      </w:r>
    </w:p>
    <w:p w14:paraId="2FDA9BA2" w14:textId="16BD2187" w:rsidR="00E00260" w:rsidRDefault="00831E94" w:rsidP="00840188">
      <w:pPr>
        <w:pStyle w:val="ListParagraph"/>
        <w:numPr>
          <w:ilvl w:val="0"/>
          <w:numId w:val="5"/>
        </w:numPr>
        <w:overflowPunct w:val="0"/>
        <w:autoSpaceDE w:val="0"/>
        <w:autoSpaceDN w:val="0"/>
        <w:ind w:left="714" w:hanging="357"/>
        <w:rPr>
          <w:rFonts w:hint="eastAsia"/>
          <w:szCs w:val="20"/>
        </w:rPr>
      </w:pPr>
      <w:r>
        <w:rPr>
          <w:rFonts w:hint="eastAsia"/>
        </w:rPr>
        <w:t xml:space="preserve">GAC </w:t>
      </w:r>
      <w:r>
        <w:rPr>
          <w:rFonts w:hint="eastAsia"/>
        </w:rPr>
        <w:t>作为</w:t>
      </w:r>
      <w:r>
        <w:rPr>
          <w:rFonts w:hint="eastAsia"/>
        </w:rPr>
        <w:t xml:space="preserve"> CCWG </w:t>
      </w:r>
      <w:r>
        <w:rPr>
          <w:rFonts w:hint="eastAsia"/>
        </w:rPr>
        <w:t>章程组织的立场。</w:t>
      </w:r>
    </w:p>
    <w:p w14:paraId="24811425" w14:textId="4FF6E149" w:rsidR="00B1475A" w:rsidRDefault="00B1475A" w:rsidP="00840188">
      <w:pPr>
        <w:pStyle w:val="Heading2"/>
        <w:overflowPunct w:val="0"/>
        <w:autoSpaceDE w:val="0"/>
        <w:autoSpaceDN w:val="0"/>
        <w:ind w:right="0"/>
        <w:rPr>
          <w:rFonts w:hint="eastAsia"/>
        </w:rPr>
      </w:pPr>
      <w:r>
        <w:rPr>
          <w:rFonts w:hint="eastAsia"/>
        </w:rPr>
        <w:t xml:space="preserve">GAC </w:t>
      </w:r>
      <w:r>
        <w:rPr>
          <w:rFonts w:hint="eastAsia"/>
        </w:rPr>
        <w:t>需要采取的行动</w:t>
      </w:r>
    </w:p>
    <w:p w14:paraId="0A3A4541" w14:textId="000C5F61" w:rsidR="00D34405" w:rsidRPr="00367D10" w:rsidRDefault="00E00260" w:rsidP="00840188">
      <w:pPr>
        <w:pStyle w:val="BodyText"/>
        <w:numPr>
          <w:ilvl w:val="0"/>
          <w:numId w:val="16"/>
        </w:numPr>
        <w:overflowPunct w:val="0"/>
        <w:autoSpaceDE w:val="0"/>
        <w:autoSpaceDN w:val="0"/>
        <w:rPr>
          <w:rFonts w:hint="eastAsia"/>
          <w:b/>
          <w:color w:val="2E74B5" w:themeColor="accent1" w:themeShade="BF"/>
        </w:rPr>
      </w:pPr>
      <w:r>
        <w:rPr>
          <w:rFonts w:hint="eastAsia"/>
          <w:b/>
          <w:color w:val="2E74B5" w:themeColor="accent1" w:themeShade="BF"/>
        </w:rPr>
        <w:t>来自</w:t>
      </w:r>
      <w:r>
        <w:rPr>
          <w:rFonts w:hint="eastAsia"/>
          <w:b/>
          <w:color w:val="2E74B5" w:themeColor="accent1" w:themeShade="BF"/>
        </w:rPr>
        <w:t xml:space="preserve"> GAC </w:t>
      </w:r>
      <w:r>
        <w:rPr>
          <w:rFonts w:hint="eastAsia"/>
          <w:b/>
          <w:color w:val="2E74B5" w:themeColor="accent1" w:themeShade="BF"/>
        </w:rPr>
        <w:t>成员的报告</w:t>
      </w:r>
    </w:p>
    <w:p w14:paraId="0E2B3024" w14:textId="7239B86A" w:rsidR="00C40474" w:rsidRDefault="00C40474" w:rsidP="00840188">
      <w:pPr>
        <w:pStyle w:val="BodyText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听取来自</w:t>
      </w:r>
      <w:r>
        <w:rPr>
          <w:rFonts w:hint="eastAsia"/>
        </w:rPr>
        <w:t xml:space="preserve"> GAC </w:t>
      </w:r>
      <w:r>
        <w:rPr>
          <w:rFonts w:hint="eastAsia"/>
        </w:rPr>
        <w:t>委派的</w:t>
      </w:r>
      <w:r>
        <w:rPr>
          <w:rFonts w:hint="eastAsia"/>
        </w:rPr>
        <w:t xml:space="preserve"> CCWG </w:t>
      </w:r>
      <w:r>
        <w:rPr>
          <w:rFonts w:hint="eastAsia"/>
        </w:rPr>
        <w:t>成员的报告已成为最近</w:t>
      </w:r>
      <w:r>
        <w:rPr>
          <w:rFonts w:hint="eastAsia"/>
        </w:rPr>
        <w:t xml:space="preserve"> GAC </w:t>
      </w:r>
      <w:r>
        <w:rPr>
          <w:rFonts w:hint="eastAsia"/>
        </w:rPr>
        <w:t>会议的惯例。</w:t>
      </w:r>
      <w:r>
        <w:rPr>
          <w:rFonts w:hint="eastAsia"/>
        </w:rPr>
        <w:t xml:space="preserve">ACIG GAC </w:t>
      </w:r>
      <w:r>
        <w:rPr>
          <w:rFonts w:hint="eastAsia"/>
        </w:rPr>
        <w:t>秘书处已编制好闭会期间的报告并发送给</w:t>
      </w:r>
      <w:r>
        <w:rPr>
          <w:rFonts w:hint="eastAsia"/>
        </w:rPr>
        <w:t xml:space="preserve"> GAC</w:t>
      </w:r>
      <w:r>
        <w:rPr>
          <w:rFonts w:hint="eastAsia"/>
        </w:rPr>
        <w:t>。</w:t>
      </w:r>
    </w:p>
    <w:p w14:paraId="29E29033" w14:textId="4FDC3C51" w:rsidR="00C40474" w:rsidRDefault="00C40474" w:rsidP="00840188">
      <w:pPr>
        <w:pStyle w:val="BodyText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GAC </w:t>
      </w:r>
      <w:r>
        <w:rPr>
          <w:rFonts w:hint="eastAsia"/>
        </w:rPr>
        <w:t>委派到</w:t>
      </w:r>
      <w:r>
        <w:rPr>
          <w:rFonts w:hint="eastAsia"/>
        </w:rPr>
        <w:t xml:space="preserve"> CCWG </w:t>
      </w:r>
      <w:r>
        <w:rPr>
          <w:rFonts w:hint="eastAsia"/>
        </w:rPr>
        <w:t>的成员包括：阿根廷、巴西、加拿大、丹麦和伊朗。</w:t>
      </w:r>
    </w:p>
    <w:p w14:paraId="1567A125" w14:textId="05040222" w:rsidR="00831E94" w:rsidRPr="00367D10" w:rsidRDefault="00A92158" w:rsidP="00840188">
      <w:pPr>
        <w:pStyle w:val="BodyText"/>
        <w:numPr>
          <w:ilvl w:val="0"/>
          <w:numId w:val="16"/>
        </w:numPr>
        <w:overflowPunct w:val="0"/>
        <w:autoSpaceDE w:val="0"/>
        <w:autoSpaceDN w:val="0"/>
        <w:rPr>
          <w:rFonts w:hint="eastAsia"/>
          <w:b/>
          <w:color w:val="2E74B5" w:themeColor="accent1" w:themeShade="BF"/>
        </w:rPr>
      </w:pPr>
      <w:r>
        <w:rPr>
          <w:rFonts w:hint="eastAsia"/>
          <w:b/>
          <w:color w:val="2E74B5" w:themeColor="accent1" w:themeShade="BF"/>
        </w:rPr>
        <w:t>最终报告和建议草案</w:t>
      </w:r>
    </w:p>
    <w:p w14:paraId="2F010AA4" w14:textId="44EFFD5D" w:rsidR="001D64DD" w:rsidRDefault="00A92158" w:rsidP="00840188">
      <w:pPr>
        <w:pStyle w:val="BodyText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CCWG </w:t>
      </w:r>
      <w:r>
        <w:rPr>
          <w:rFonts w:hint="eastAsia"/>
        </w:rPr>
        <w:t>发布了包括建议的</w:t>
      </w:r>
      <w:hyperlink r:id="rId8" w:history="1">
        <w:r>
          <w:rPr>
            <w:rStyle w:val="Hyperlink"/>
            <w:rFonts w:hint="eastAsia"/>
          </w:rPr>
          <w:t>最终报告</w:t>
        </w:r>
      </w:hyperlink>
      <w:r>
        <w:rPr>
          <w:rFonts w:hint="eastAsia"/>
        </w:rPr>
        <w:t>，在</w:t>
      </w:r>
      <w:r>
        <w:rPr>
          <w:rFonts w:hint="eastAsia"/>
        </w:rPr>
        <w:t xml:space="preserve"> 2018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30 </w:t>
      </w:r>
      <w:r>
        <w:rPr>
          <w:rFonts w:hint="eastAsia"/>
        </w:rPr>
        <w:t>日至</w:t>
      </w:r>
      <w:r>
        <w:rPr>
          <w:rFonts w:hint="eastAsia"/>
        </w:rPr>
        <w:t xml:space="preserve"> 5 </w:t>
      </w:r>
      <w:r>
        <w:rPr>
          <w:rFonts w:hint="eastAsia"/>
        </w:rPr>
        <w:t>月</w:t>
      </w:r>
      <w:r>
        <w:rPr>
          <w:rFonts w:hint="eastAsia"/>
        </w:rPr>
        <w:t xml:space="preserve">11 </w:t>
      </w:r>
      <w:r>
        <w:rPr>
          <w:rFonts w:hint="eastAsia"/>
        </w:rPr>
        <w:t>日期间征询公众意见。理论上，此次公众意见征询仅限于发现各项建议之间的不一致之处。这是因为，</w:t>
      </w:r>
      <w:r>
        <w:rPr>
          <w:rFonts w:hint="eastAsia"/>
        </w:rPr>
        <w:t xml:space="preserve">CCWG </w:t>
      </w:r>
      <w:r>
        <w:rPr>
          <w:rFonts w:hint="eastAsia"/>
        </w:rPr>
        <w:t>必须在</w:t>
      </w:r>
      <w:r>
        <w:rPr>
          <w:rFonts w:hint="eastAsia"/>
        </w:rPr>
        <w:t xml:space="preserve"> 2018 </w:t>
      </w:r>
      <w:r>
        <w:rPr>
          <w:rFonts w:hint="eastAsia"/>
        </w:rPr>
        <w:t>年</w:t>
      </w:r>
      <w:r>
        <w:rPr>
          <w:rFonts w:hint="eastAsia"/>
        </w:rPr>
        <w:t xml:space="preserve"> 6 </w:t>
      </w:r>
      <w:r>
        <w:rPr>
          <w:rFonts w:hint="eastAsia"/>
        </w:rPr>
        <w:t>月之前敲定报告，它不能再次发起关于实质性问题的讨论。</w:t>
      </w:r>
    </w:p>
    <w:p w14:paraId="7CA01744" w14:textId="2AED4177" w:rsidR="00D97BFC" w:rsidRDefault="00D97BFC" w:rsidP="00840188">
      <w:pPr>
        <w:pStyle w:val="BodyText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GAC </w:t>
      </w:r>
      <w:r>
        <w:rPr>
          <w:rFonts w:hint="eastAsia"/>
        </w:rPr>
        <w:t>成员之一（法国）就多样性和管辖</w:t>
      </w:r>
      <w:proofErr w:type="gramStart"/>
      <w:r>
        <w:rPr>
          <w:rFonts w:hint="eastAsia"/>
        </w:rPr>
        <w:t>权建议</w:t>
      </w:r>
      <w:proofErr w:type="gramEnd"/>
      <w:r>
        <w:rPr>
          <w:rFonts w:hint="eastAsia"/>
        </w:rPr>
        <w:t>提交了公众意见。</w:t>
      </w:r>
    </w:p>
    <w:p w14:paraId="6AF533F1" w14:textId="5730EF4C" w:rsidR="00D97BFC" w:rsidRDefault="00D97BFC" w:rsidP="00840188">
      <w:pPr>
        <w:pStyle w:val="BodyText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ICANN </w:t>
      </w:r>
      <w:r>
        <w:rPr>
          <w:rFonts w:hint="eastAsia"/>
        </w:rPr>
        <w:t>董事会对其中一些建议表示担忧。在编写本简报时，</w:t>
      </w:r>
      <w:r>
        <w:rPr>
          <w:rFonts w:hint="eastAsia"/>
        </w:rPr>
        <w:t xml:space="preserve">CCWG </w:t>
      </w:r>
      <w:r>
        <w:rPr>
          <w:rFonts w:hint="eastAsia"/>
        </w:rPr>
        <w:t>联合主席仍在讨论这些建议。他们的目标是制定“实施指导原则”，在不修改建议的情况下解决董事会的担忧。</w:t>
      </w:r>
      <w:r w:rsidR="00F4768C" w:rsidRPr="00F4768C">
        <w:rPr>
          <w:rFonts w:hint="eastAsia"/>
        </w:rPr>
        <w:t>下表显示了目前状况。</w:t>
      </w:r>
    </w:p>
    <w:p w14:paraId="67BBBBA0" w14:textId="070963C3" w:rsidR="00367D10" w:rsidRDefault="00A10D81" w:rsidP="00840188">
      <w:pPr>
        <w:pStyle w:val="BodyText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经</w:t>
      </w:r>
      <w:r>
        <w:rPr>
          <w:rFonts w:hint="eastAsia"/>
        </w:rPr>
        <w:t xml:space="preserve"> CCWG </w:t>
      </w:r>
      <w:r>
        <w:rPr>
          <w:rFonts w:hint="eastAsia"/>
        </w:rPr>
        <w:t>达成共识并发布以征询公众意见的建议的情况如下：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56"/>
        <w:gridCol w:w="4557"/>
      </w:tblGrid>
      <w:tr w:rsidR="00A10D81" w14:paraId="2A4359DC" w14:textId="77777777" w:rsidTr="009210C3">
        <w:trPr>
          <w:jc w:val="center"/>
        </w:trPr>
        <w:tc>
          <w:tcPr>
            <w:tcW w:w="4556" w:type="dxa"/>
            <w:shd w:val="clear" w:color="auto" w:fill="BDD6EE" w:themeFill="accent1" w:themeFillTint="66"/>
          </w:tcPr>
          <w:p w14:paraId="2FEF778B" w14:textId="007D909A" w:rsidR="00A10D81" w:rsidRPr="000D1296" w:rsidRDefault="00D97BFC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建议</w:t>
            </w:r>
          </w:p>
        </w:tc>
        <w:tc>
          <w:tcPr>
            <w:tcW w:w="4557" w:type="dxa"/>
            <w:shd w:val="clear" w:color="auto" w:fill="BDD6EE" w:themeFill="accent1" w:themeFillTint="66"/>
          </w:tcPr>
          <w:p w14:paraId="10C9D6D5" w14:textId="4C802992" w:rsidR="00A10D81" w:rsidRPr="000D1296" w:rsidRDefault="00D97BFC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公众意见</w:t>
            </w:r>
          </w:p>
        </w:tc>
      </w:tr>
      <w:tr w:rsidR="001A541E" w14:paraId="7268EB83" w14:textId="77777777" w:rsidTr="009210C3">
        <w:trPr>
          <w:jc w:val="center"/>
        </w:trPr>
        <w:tc>
          <w:tcPr>
            <w:tcW w:w="4556" w:type="dxa"/>
          </w:tcPr>
          <w:p w14:paraId="13F94156" w14:textId="3FE29C2F" w:rsidR="001A541E" w:rsidRPr="002A182A" w:rsidRDefault="001A541E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报告和全部建议</w:t>
            </w:r>
          </w:p>
        </w:tc>
        <w:tc>
          <w:tcPr>
            <w:tcW w:w="4557" w:type="dxa"/>
          </w:tcPr>
          <w:p w14:paraId="5C4C33B7" w14:textId="76DAD39B" w:rsidR="001A541E" w:rsidRDefault="001A541E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>GAC</w:t>
            </w:r>
            <w:r w:rsidR="009217C9">
              <w:rPr>
                <w:lang w:val="en-US"/>
              </w:rPr>
              <w:t> </w:t>
            </w:r>
            <w:r>
              <w:rPr>
                <w:rFonts w:hint="eastAsia"/>
              </w:rPr>
              <w:t>未就任何共识性建议达成一致意见。部分</w:t>
            </w:r>
            <w:r>
              <w:rPr>
                <w:rFonts w:hint="eastAsia"/>
              </w:rPr>
              <w:t xml:space="preserve"> GAC </w:t>
            </w:r>
            <w:r>
              <w:rPr>
                <w:rFonts w:hint="eastAsia"/>
              </w:rPr>
              <w:t>成员在公共评议期内提交了公众意见，并在</w:t>
            </w:r>
            <w:r>
              <w:rPr>
                <w:rFonts w:hint="eastAsia"/>
              </w:rPr>
              <w:t xml:space="preserve"> CCWG </w:t>
            </w:r>
            <w:r>
              <w:rPr>
                <w:rFonts w:hint="eastAsia"/>
              </w:rPr>
              <w:t>工作层面提出了个人观点。</w:t>
            </w:r>
          </w:p>
        </w:tc>
      </w:tr>
      <w:tr w:rsidR="00A10D81" w:rsidRPr="00840188" w14:paraId="129D9BD8" w14:textId="77777777" w:rsidTr="009210C3">
        <w:trPr>
          <w:jc w:val="center"/>
        </w:trPr>
        <w:tc>
          <w:tcPr>
            <w:tcW w:w="4556" w:type="dxa"/>
          </w:tcPr>
          <w:p w14:paraId="31990C05" w14:textId="77777777" w:rsidR="00A10D81" w:rsidRPr="00481C0C" w:rsidRDefault="00D97BFC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多样性</w:t>
            </w:r>
          </w:p>
          <w:p w14:paraId="576EE518" w14:textId="77777777" w:rsidR="00481C0C" w:rsidRDefault="00481C0C" w:rsidP="009210C3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>多样性在整个</w:t>
            </w:r>
            <w:r>
              <w:rPr>
                <w:rFonts w:hint="eastAsia"/>
              </w:rPr>
              <w:t xml:space="preserve"> ICANN </w:t>
            </w:r>
            <w:r>
              <w:rPr>
                <w:rFonts w:hint="eastAsia"/>
              </w:rPr>
              <w:t>内的定义应统一</w:t>
            </w:r>
            <w:proofErr w:type="gramStart"/>
            <w:r>
              <w:rPr>
                <w:rFonts w:hint="eastAsia"/>
              </w:rPr>
              <w:t>且达成</w:t>
            </w:r>
            <w:proofErr w:type="gramEnd"/>
            <w:r>
              <w:rPr>
                <w:rFonts w:hint="eastAsia"/>
              </w:rPr>
              <w:t>共识。</w:t>
            </w:r>
          </w:p>
          <w:p w14:paraId="74DB1467" w14:textId="3928426E" w:rsidR="00481C0C" w:rsidRDefault="00481C0C" w:rsidP="009210C3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 xml:space="preserve">SO/AC </w:t>
            </w:r>
            <w:r>
              <w:rPr>
                <w:rFonts w:hint="eastAsia"/>
              </w:rPr>
              <w:t>应审核并发布他们自己的用于提高内部多样性的计划，</w:t>
            </w:r>
            <w:r>
              <w:rPr>
                <w:rFonts w:hint="eastAsia"/>
              </w:rPr>
              <w:t xml:space="preserve">ICANN </w:t>
            </w:r>
            <w:r>
              <w:rPr>
                <w:rFonts w:hint="eastAsia"/>
              </w:rPr>
              <w:t>组织则视情况提供支持。</w:t>
            </w:r>
          </w:p>
        </w:tc>
        <w:tc>
          <w:tcPr>
            <w:tcW w:w="4557" w:type="dxa"/>
          </w:tcPr>
          <w:p w14:paraId="5D1293AB" w14:textId="3584BFEF" w:rsidR="00A10D81" w:rsidRDefault="000D1296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  <w:b/>
              </w:rPr>
              <w:t>法国</w:t>
            </w:r>
            <w:r>
              <w:rPr>
                <w:rFonts w:hint="eastAsia"/>
              </w:rPr>
              <w:t>：法国政府对</w:t>
            </w:r>
            <w:r w:rsidR="009217C9">
              <w:rPr>
                <w:lang w:val="en-US"/>
              </w:rPr>
              <w:t> </w:t>
            </w:r>
            <w:r>
              <w:rPr>
                <w:rFonts w:hint="eastAsia"/>
              </w:rPr>
              <w:t>CWG</w:t>
            </w:r>
            <w:r w:rsidR="009217C9">
              <w:rPr>
                <w:lang w:val="en-US"/>
              </w:rPr>
              <w:t> </w:t>
            </w:r>
            <w:r>
              <w:rPr>
                <w:rFonts w:hint="eastAsia"/>
              </w:rPr>
              <w:t>建议中未纳入关于建立“多样性办公室”的提议感到遗憾，“多样性办公室”是一项非常具体、目标远大的主要工具，</w:t>
            </w:r>
            <w:r w:rsidR="009210C3">
              <w:rPr>
                <w:rFonts w:hint="eastAsia"/>
              </w:rPr>
              <w:t>可大大提高</w:t>
            </w:r>
            <w:r w:rsidR="009210C3">
              <w:rPr>
                <w:rFonts w:hint="eastAsia"/>
              </w:rPr>
              <w:t xml:space="preserve"> ICANN </w:t>
            </w:r>
            <w:r w:rsidR="009210C3">
              <w:rPr>
                <w:rFonts w:hint="eastAsia"/>
              </w:rPr>
              <w:t>内部的多样性。</w:t>
            </w:r>
          </w:p>
          <w:p w14:paraId="13AA9833" w14:textId="73EF6E0D" w:rsidR="00E15156" w:rsidRDefault="00E15156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>多样性小组的提案包括多项改进方法，如对多样性的多维定义、定期发布数据以及一套供社群查询</w:t>
            </w:r>
            <w:r>
              <w:rPr>
                <w:rFonts w:hint="eastAsia"/>
              </w:rPr>
              <w:t xml:space="preserve"> ICANN </w:t>
            </w:r>
            <w:r>
              <w:rPr>
                <w:rFonts w:hint="eastAsia"/>
              </w:rPr>
              <w:t>多样性进展的系统。</w:t>
            </w:r>
            <w:r w:rsidR="006B7BEC">
              <w:rPr>
                <w:rStyle w:val="FootnoteReference"/>
                <w:rFonts w:hint="eastAsia"/>
              </w:rPr>
              <w:footnoteReference w:id="1"/>
            </w:r>
          </w:p>
        </w:tc>
      </w:tr>
      <w:tr w:rsidR="00A10D81" w14:paraId="11AE53A9" w14:textId="77777777" w:rsidTr="009210C3">
        <w:trPr>
          <w:jc w:val="center"/>
        </w:trPr>
        <w:tc>
          <w:tcPr>
            <w:tcW w:w="4556" w:type="dxa"/>
          </w:tcPr>
          <w:p w14:paraId="4370739A" w14:textId="650B038A" w:rsidR="00A10D81" w:rsidRPr="002A182A" w:rsidRDefault="00D97BFC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善意罢免单个董事会成员的准则</w:t>
            </w:r>
          </w:p>
        </w:tc>
        <w:tc>
          <w:tcPr>
            <w:tcW w:w="4557" w:type="dxa"/>
          </w:tcPr>
          <w:p w14:paraId="4C0FB562" w14:textId="278D0335" w:rsidR="00A10D81" w:rsidRDefault="001A541E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 xml:space="preserve">GAC </w:t>
            </w:r>
            <w:r>
              <w:rPr>
                <w:rFonts w:hint="eastAsia"/>
              </w:rPr>
              <w:t>未展开讨论。</w:t>
            </w:r>
          </w:p>
        </w:tc>
      </w:tr>
      <w:tr w:rsidR="00A10D81" w14:paraId="158A80C0" w14:textId="77777777" w:rsidTr="009210C3">
        <w:trPr>
          <w:jc w:val="center"/>
        </w:trPr>
        <w:tc>
          <w:tcPr>
            <w:tcW w:w="4556" w:type="dxa"/>
          </w:tcPr>
          <w:p w14:paraId="5FA1C6D2" w14:textId="77777777" w:rsidR="00A10D81" w:rsidRPr="00E838B6" w:rsidRDefault="00D97BFC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人权解释框架</w:t>
            </w:r>
          </w:p>
          <w:p w14:paraId="67CC32D0" w14:textId="1BBCB75B" w:rsidR="00481C0C" w:rsidRDefault="00E838B6" w:rsidP="009210C3">
            <w:pPr>
              <w:pStyle w:val="BodyText"/>
              <w:numPr>
                <w:ilvl w:val="0"/>
                <w:numId w:val="15"/>
              </w:numPr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 xml:space="preserve">ICANN </w:t>
            </w:r>
            <w:r>
              <w:rPr>
                <w:rFonts w:hint="eastAsia"/>
              </w:rPr>
              <w:t>应使用关于</w:t>
            </w:r>
            <w:r>
              <w:rPr>
                <w:rFonts w:hint="eastAsia"/>
              </w:rPr>
              <w:t xml:space="preserve"> ICANN </w:t>
            </w:r>
            <w:r>
              <w:rPr>
                <w:rFonts w:hint="eastAsia"/>
              </w:rPr>
              <w:t>人权章程的拟议解释和</w:t>
            </w:r>
            <w:proofErr w:type="gramStart"/>
            <w:r>
              <w:rPr>
                <w:rFonts w:hint="eastAsia"/>
              </w:rPr>
              <w:t>考量</w:t>
            </w:r>
            <w:proofErr w:type="gramEnd"/>
            <w:r>
              <w:rPr>
                <w:rFonts w:hint="eastAsia"/>
              </w:rPr>
              <w:t>框架。</w:t>
            </w:r>
          </w:p>
        </w:tc>
        <w:tc>
          <w:tcPr>
            <w:tcW w:w="4557" w:type="dxa"/>
          </w:tcPr>
          <w:p w14:paraId="1FC64D26" w14:textId="19864B13" w:rsidR="00A10D81" w:rsidRDefault="001A541E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 xml:space="preserve">GAC </w:t>
            </w:r>
            <w:r>
              <w:rPr>
                <w:rFonts w:hint="eastAsia"/>
              </w:rPr>
              <w:t>未展开实质性讨论。</w:t>
            </w:r>
          </w:p>
        </w:tc>
      </w:tr>
      <w:tr w:rsidR="00A10D81" w14:paraId="5E01705A" w14:textId="77777777" w:rsidTr="009210C3">
        <w:trPr>
          <w:jc w:val="center"/>
        </w:trPr>
        <w:tc>
          <w:tcPr>
            <w:tcW w:w="4556" w:type="dxa"/>
          </w:tcPr>
          <w:p w14:paraId="6B64FF36" w14:textId="77777777" w:rsidR="00A10D81" w:rsidRPr="00481C0C" w:rsidRDefault="00D97BFC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管辖权</w:t>
            </w:r>
          </w:p>
          <w:p w14:paraId="00A082A5" w14:textId="588956EB" w:rsidR="00481C0C" w:rsidRDefault="00481C0C" w:rsidP="009210C3">
            <w:pPr>
              <w:pStyle w:val="BodyText"/>
              <w:numPr>
                <w:ilvl w:val="0"/>
                <w:numId w:val="13"/>
              </w:numPr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 xml:space="preserve">ICANN </w:t>
            </w:r>
            <w:r>
              <w:rPr>
                <w:rFonts w:hint="eastAsia"/>
              </w:rPr>
              <w:t>应积极促成</w:t>
            </w:r>
            <w:r>
              <w:rPr>
                <w:rFonts w:hint="eastAsia"/>
              </w:rPr>
              <w:t xml:space="preserve"> OFAC </w:t>
            </w:r>
            <w:r>
              <w:rPr>
                <w:rFonts w:hint="eastAsia"/>
              </w:rPr>
              <w:t>许可证的申请。</w:t>
            </w:r>
          </w:p>
          <w:p w14:paraId="7D7A0656" w14:textId="6B406394" w:rsidR="00481C0C" w:rsidRDefault="00481C0C" w:rsidP="009210C3">
            <w:pPr>
              <w:pStyle w:val="BodyText"/>
              <w:numPr>
                <w:ilvl w:val="0"/>
                <w:numId w:val="13"/>
              </w:numPr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>应支持采取“菜单”方法，使</w:t>
            </w:r>
            <w:r>
              <w:rPr>
                <w:rFonts w:hint="eastAsia"/>
              </w:rPr>
              <w:t xml:space="preserve"> ICANN </w:t>
            </w:r>
            <w:r>
              <w:rPr>
                <w:rFonts w:hint="eastAsia"/>
              </w:rPr>
              <w:t>协议的签约方能够在签订协议前选择适用法律；尽管还有其他选择。</w:t>
            </w:r>
          </w:p>
        </w:tc>
        <w:tc>
          <w:tcPr>
            <w:tcW w:w="4557" w:type="dxa"/>
          </w:tcPr>
          <w:p w14:paraId="3C8CBD87" w14:textId="6428CAFC" w:rsidR="00A10D81" w:rsidRDefault="000D1296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  <w:b/>
              </w:rPr>
              <w:t>法国</w:t>
            </w:r>
            <w:r>
              <w:rPr>
                <w:rFonts w:hint="eastAsia"/>
              </w:rPr>
              <w:t>：考虑到小组内部的严重分歧，法国政府建议小组成员探讨引入管辖权豁免的新方法（包括部分豁免），以确保其独立性和对全球互联网社群负责。</w:t>
            </w:r>
            <w:r w:rsidR="00927979">
              <w:rPr>
                <w:rStyle w:val="FootnoteReference"/>
                <w:rFonts w:hint="eastAsia"/>
              </w:rPr>
              <w:footnoteReference w:id="2"/>
            </w:r>
          </w:p>
          <w:p w14:paraId="4D52011C" w14:textId="766F2950" w:rsidR="00927979" w:rsidRDefault="00927979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  <w:b/>
              </w:rPr>
              <w:t>巴西</w:t>
            </w:r>
            <w:r>
              <w:rPr>
                <w:rFonts w:hint="eastAsia"/>
              </w:rPr>
              <w:t>：应为</w:t>
            </w:r>
            <w:r w:rsidR="00A85AE0" w:rsidRPr="00A85AE0">
              <w:t> </w:t>
            </w:r>
            <w:r>
              <w:rPr>
                <w:rFonts w:hint="eastAsia"/>
              </w:rPr>
              <w:t>GAC</w:t>
            </w:r>
            <w:r w:rsidR="00A85AE0">
              <w:rPr>
                <w:lang w:val="en-US"/>
              </w:rPr>
              <w:t> </w:t>
            </w:r>
            <w:r>
              <w:rPr>
                <w:rFonts w:hint="eastAsia"/>
              </w:rPr>
              <w:t>留出足够的时间来讨论关于管辖权的建议，以及可能的话，达成立场。</w:t>
            </w:r>
            <w:r w:rsidR="00E15156">
              <w:rPr>
                <w:rStyle w:val="FootnoteReference"/>
                <w:rFonts w:hint="eastAsia"/>
              </w:rPr>
              <w:footnoteReference w:id="3"/>
            </w:r>
          </w:p>
        </w:tc>
      </w:tr>
      <w:tr w:rsidR="00A10D81" w14:paraId="3AEE549B" w14:textId="77777777" w:rsidTr="009210C3">
        <w:trPr>
          <w:jc w:val="center"/>
        </w:trPr>
        <w:tc>
          <w:tcPr>
            <w:tcW w:w="4556" w:type="dxa"/>
          </w:tcPr>
          <w:p w14:paraId="78401D16" w14:textId="4B12F40D" w:rsidR="00A10D81" w:rsidRPr="002A182A" w:rsidRDefault="00D97BFC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ICANN </w:t>
            </w:r>
            <w:r>
              <w:rPr>
                <w:rFonts w:hint="eastAsia"/>
                <w:b/>
              </w:rPr>
              <w:t>监察官</w:t>
            </w:r>
          </w:p>
        </w:tc>
        <w:tc>
          <w:tcPr>
            <w:tcW w:w="4557" w:type="dxa"/>
          </w:tcPr>
          <w:p w14:paraId="7A318D57" w14:textId="77777777" w:rsidR="00A10D81" w:rsidRDefault="001A541E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 xml:space="preserve">GAC </w:t>
            </w:r>
            <w:r>
              <w:rPr>
                <w:rFonts w:hint="eastAsia"/>
              </w:rPr>
              <w:t>未展开实质性讨论。</w:t>
            </w:r>
          </w:p>
          <w:p w14:paraId="4EA8C084" w14:textId="34740FAE" w:rsidR="009F0BC1" w:rsidRDefault="009F0BC1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 w:rsidRPr="009F0BC1">
              <w:rPr>
                <w:rFonts w:hint="eastAsia"/>
              </w:rPr>
              <w:t xml:space="preserve">ICANN </w:t>
            </w:r>
            <w:r w:rsidRPr="009F0BC1">
              <w:rPr>
                <w:rFonts w:hint="eastAsia"/>
              </w:rPr>
              <w:t>董事会有一些担忧。正在与</w:t>
            </w:r>
            <w:r w:rsidRPr="009F0BC1">
              <w:rPr>
                <w:rFonts w:hint="eastAsia"/>
              </w:rPr>
              <w:t xml:space="preserve"> CCWG </w:t>
            </w:r>
            <w:r w:rsidRPr="009F0BC1">
              <w:rPr>
                <w:rFonts w:hint="eastAsia"/>
              </w:rPr>
              <w:t>联合主席讨论中。</w:t>
            </w:r>
          </w:p>
        </w:tc>
      </w:tr>
      <w:tr w:rsidR="00A10D81" w14:paraId="131598E2" w14:textId="77777777" w:rsidTr="009210C3">
        <w:trPr>
          <w:jc w:val="center"/>
        </w:trPr>
        <w:tc>
          <w:tcPr>
            <w:tcW w:w="4556" w:type="dxa"/>
          </w:tcPr>
          <w:p w14:paraId="398EB55E" w14:textId="26A70DCD" w:rsidR="00A10D81" w:rsidRPr="00481C0C" w:rsidRDefault="00D97BFC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SO/AC </w:t>
            </w:r>
            <w:r>
              <w:rPr>
                <w:rFonts w:hint="eastAsia"/>
                <w:b/>
              </w:rPr>
              <w:t>问责制</w:t>
            </w:r>
          </w:p>
          <w:p w14:paraId="6430912D" w14:textId="4EF33B03" w:rsidR="00481C0C" w:rsidRDefault="00481C0C" w:rsidP="009210C3">
            <w:pPr>
              <w:pStyle w:val="BodyText"/>
              <w:numPr>
                <w:ilvl w:val="0"/>
                <w:numId w:val="15"/>
              </w:numPr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 xml:space="preserve">SO/AC </w:t>
            </w:r>
            <w:r>
              <w:rPr>
                <w:rFonts w:hint="eastAsia"/>
              </w:rPr>
              <w:t>应实施有关以下方面的建议良好做法（在其组织结构和宗旨允许的情况下）：问责制、透明度、参与、外展以及规则和程序更新。</w:t>
            </w:r>
          </w:p>
        </w:tc>
        <w:tc>
          <w:tcPr>
            <w:tcW w:w="4557" w:type="dxa"/>
          </w:tcPr>
          <w:p w14:paraId="363E6781" w14:textId="369B0A3E" w:rsidR="00A10D81" w:rsidRDefault="002B5CC4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 xml:space="preserve">GAC </w:t>
            </w:r>
            <w:r>
              <w:rPr>
                <w:rFonts w:hint="eastAsia"/>
              </w:rPr>
              <w:t>未展开实质性讨论。</w:t>
            </w:r>
          </w:p>
        </w:tc>
      </w:tr>
      <w:tr w:rsidR="00A10D81" w14:paraId="10C269E3" w14:textId="77777777" w:rsidTr="009210C3">
        <w:trPr>
          <w:jc w:val="center"/>
        </w:trPr>
        <w:tc>
          <w:tcPr>
            <w:tcW w:w="4556" w:type="dxa"/>
          </w:tcPr>
          <w:p w14:paraId="3E96C17C" w14:textId="7E294E4F" w:rsidR="00A10D81" w:rsidRPr="002A182A" w:rsidRDefault="00481C0C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员工问责制</w:t>
            </w:r>
          </w:p>
        </w:tc>
        <w:tc>
          <w:tcPr>
            <w:tcW w:w="4557" w:type="dxa"/>
          </w:tcPr>
          <w:p w14:paraId="38899268" w14:textId="6A121DB3" w:rsidR="00A10D81" w:rsidRDefault="001A541E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 xml:space="preserve">GAC </w:t>
            </w:r>
            <w:r>
              <w:rPr>
                <w:rFonts w:hint="eastAsia"/>
              </w:rPr>
              <w:t>未展开讨论。</w:t>
            </w:r>
          </w:p>
        </w:tc>
      </w:tr>
      <w:tr w:rsidR="00A10D81" w14:paraId="16710921" w14:textId="77777777" w:rsidTr="009210C3">
        <w:trPr>
          <w:jc w:val="center"/>
        </w:trPr>
        <w:tc>
          <w:tcPr>
            <w:tcW w:w="4556" w:type="dxa"/>
          </w:tcPr>
          <w:p w14:paraId="681053DA" w14:textId="71C9326F" w:rsidR="00A10D81" w:rsidRPr="00481C0C" w:rsidRDefault="00D97BFC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ICANN </w:t>
            </w:r>
            <w:r>
              <w:rPr>
                <w:rFonts w:hint="eastAsia"/>
                <w:b/>
              </w:rPr>
              <w:t>透明度</w:t>
            </w:r>
          </w:p>
          <w:p w14:paraId="38969D45" w14:textId="77777777" w:rsidR="00481C0C" w:rsidRDefault="00481C0C" w:rsidP="009210C3">
            <w:pPr>
              <w:pStyle w:val="BodyText"/>
              <w:numPr>
                <w:ilvl w:val="0"/>
                <w:numId w:val="15"/>
              </w:numPr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 xml:space="preserve">ICANN </w:t>
            </w:r>
            <w:r>
              <w:rPr>
                <w:rFonts w:hint="eastAsia"/>
              </w:rPr>
              <w:t>应定期公开披露它与各国政府之间的交流。</w:t>
            </w:r>
          </w:p>
          <w:p w14:paraId="0D64F598" w14:textId="27D850DC" w:rsidR="00481C0C" w:rsidRDefault="00481C0C" w:rsidP="009210C3">
            <w:pPr>
              <w:pStyle w:val="BodyText"/>
              <w:numPr>
                <w:ilvl w:val="0"/>
                <w:numId w:val="15"/>
              </w:numPr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 xml:space="preserve">ICANN </w:t>
            </w:r>
            <w:r>
              <w:rPr>
                <w:rFonts w:hint="eastAsia"/>
              </w:rPr>
              <w:t>应改进其信息披露和举报人政策。</w:t>
            </w:r>
          </w:p>
        </w:tc>
        <w:tc>
          <w:tcPr>
            <w:tcW w:w="4557" w:type="dxa"/>
          </w:tcPr>
          <w:p w14:paraId="094474EC" w14:textId="77777777" w:rsidR="00A10D81" w:rsidRDefault="002B5CC4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>
              <w:rPr>
                <w:rFonts w:hint="eastAsia"/>
              </w:rPr>
              <w:t xml:space="preserve">GAC </w:t>
            </w:r>
            <w:r>
              <w:rPr>
                <w:rFonts w:hint="eastAsia"/>
              </w:rPr>
              <w:t>未展开讨论。</w:t>
            </w:r>
          </w:p>
          <w:p w14:paraId="752E90AC" w14:textId="22463BBB" w:rsidR="001E5D6D" w:rsidRDefault="001E5D6D" w:rsidP="009210C3">
            <w:pPr>
              <w:pStyle w:val="BodyText"/>
              <w:overflowPunct w:val="0"/>
              <w:autoSpaceDE w:val="0"/>
              <w:autoSpaceDN w:val="0"/>
              <w:spacing w:after="190"/>
              <w:rPr>
                <w:rFonts w:hint="eastAsia"/>
              </w:rPr>
            </w:pPr>
            <w:r w:rsidRPr="009F0BC1">
              <w:rPr>
                <w:rFonts w:hint="eastAsia"/>
              </w:rPr>
              <w:t xml:space="preserve">ICANN </w:t>
            </w:r>
            <w:r w:rsidRPr="009F0BC1">
              <w:rPr>
                <w:rFonts w:hint="eastAsia"/>
              </w:rPr>
              <w:t>董事会有一些担忧。正在与</w:t>
            </w:r>
            <w:r w:rsidRPr="009F0BC1">
              <w:rPr>
                <w:rFonts w:hint="eastAsia"/>
              </w:rPr>
              <w:t xml:space="preserve"> CCWG </w:t>
            </w:r>
            <w:r w:rsidRPr="009F0BC1">
              <w:rPr>
                <w:rFonts w:hint="eastAsia"/>
              </w:rPr>
              <w:t>联合主席讨论中。</w:t>
            </w:r>
          </w:p>
        </w:tc>
      </w:tr>
    </w:tbl>
    <w:p w14:paraId="565591CE" w14:textId="5CC3E9BD" w:rsidR="001D64DD" w:rsidRDefault="001D64DD" w:rsidP="008F6CB0">
      <w:pPr>
        <w:pStyle w:val="BodyText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p w14:paraId="084AABDB" w14:textId="3A95B1FA" w:rsidR="001D64DD" w:rsidRPr="001A541E" w:rsidRDefault="00E00260" w:rsidP="00F73377">
      <w:pPr>
        <w:pStyle w:val="BodyText"/>
        <w:keepNext/>
        <w:pageBreakBefore/>
        <w:numPr>
          <w:ilvl w:val="0"/>
          <w:numId w:val="16"/>
        </w:numPr>
        <w:overflowPunct w:val="0"/>
        <w:autoSpaceDE w:val="0"/>
        <w:autoSpaceDN w:val="0"/>
        <w:ind w:left="357" w:hanging="357"/>
        <w:rPr>
          <w:rFonts w:hint="eastAsia"/>
          <w:b/>
          <w:color w:val="2E74B5" w:themeColor="accent1" w:themeShade="BF"/>
        </w:rPr>
      </w:pPr>
      <w:r>
        <w:rPr>
          <w:rFonts w:hint="eastAsia"/>
          <w:b/>
          <w:color w:val="2E74B5" w:themeColor="accent1" w:themeShade="BF"/>
        </w:rPr>
        <w:lastRenderedPageBreak/>
        <w:t xml:space="preserve">GAC </w:t>
      </w:r>
      <w:r>
        <w:rPr>
          <w:rFonts w:hint="eastAsia"/>
          <w:b/>
          <w:color w:val="2E74B5" w:themeColor="accent1" w:themeShade="BF"/>
        </w:rPr>
        <w:t>作为</w:t>
      </w:r>
      <w:r>
        <w:rPr>
          <w:rFonts w:hint="eastAsia"/>
          <w:b/>
          <w:color w:val="2E74B5" w:themeColor="accent1" w:themeShade="BF"/>
        </w:rPr>
        <w:t xml:space="preserve"> CCWG </w:t>
      </w:r>
      <w:r>
        <w:rPr>
          <w:rFonts w:hint="eastAsia"/>
          <w:b/>
          <w:color w:val="2E74B5" w:themeColor="accent1" w:themeShade="BF"/>
        </w:rPr>
        <w:t>章程组织的立场</w:t>
      </w:r>
      <w:r>
        <w:rPr>
          <w:rFonts w:hint="eastAsia"/>
          <w:b/>
          <w:color w:val="2E74B5" w:themeColor="accent1" w:themeShade="BF"/>
        </w:rPr>
        <w:t xml:space="preserve"> </w:t>
      </w:r>
    </w:p>
    <w:p w14:paraId="5171B0E4" w14:textId="45375E18" w:rsidR="00352E3D" w:rsidRDefault="007F0696" w:rsidP="00840188">
      <w:pPr>
        <w:pStyle w:val="BodyText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GAC</w:t>
      </w:r>
      <w:r>
        <w:rPr>
          <w:rFonts w:hint="eastAsia"/>
        </w:rPr>
        <w:t>（与其他</w:t>
      </w:r>
      <w:r>
        <w:rPr>
          <w:rFonts w:hint="eastAsia"/>
        </w:rPr>
        <w:t xml:space="preserve"> SO/AC </w:t>
      </w:r>
      <w:r>
        <w:rPr>
          <w:rFonts w:hint="eastAsia"/>
        </w:rPr>
        <w:t>一起）是</w:t>
      </w:r>
      <w:r>
        <w:rPr>
          <w:rFonts w:hint="eastAsia"/>
        </w:rPr>
        <w:t xml:space="preserve"> CCWG </w:t>
      </w:r>
      <w:r>
        <w:rPr>
          <w:rFonts w:hint="eastAsia"/>
        </w:rPr>
        <w:t>的章程组织。</w:t>
      </w:r>
      <w:hyperlink r:id="rId9" w:history="1">
        <w:r>
          <w:rPr>
            <w:rStyle w:val="Hyperlink"/>
            <w:rFonts w:hint="eastAsia"/>
          </w:rPr>
          <w:t>章程</w:t>
        </w:r>
      </w:hyperlink>
      <w:r>
        <w:rPr>
          <w:rFonts w:hint="eastAsia"/>
        </w:rPr>
        <w:t>规定：</w:t>
      </w:r>
      <w:r>
        <w:rPr>
          <w:rFonts w:hint="eastAsia"/>
          <w:i/>
        </w:rPr>
        <w:t>“……每个章程组织必须按照各自的规则和程序，审核和讨论建议草案，并决定是否采纳其中包含的建议。”</w:t>
      </w:r>
    </w:p>
    <w:p w14:paraId="59B41F0B" w14:textId="4AC105B8" w:rsidR="00352E3D" w:rsidRDefault="00F80CBA" w:rsidP="00840188">
      <w:pPr>
        <w:pStyle w:val="BodyText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GAC </w:t>
      </w:r>
      <w:r>
        <w:rPr>
          <w:rFonts w:hint="eastAsia"/>
        </w:rPr>
        <w:t>有多种回应方案可选：</w:t>
      </w:r>
    </w:p>
    <w:p w14:paraId="6A052E3F" w14:textId="089BCF3B" w:rsidR="00E5754C" w:rsidRDefault="00E5754C" w:rsidP="00840188">
      <w:pPr>
        <w:pStyle w:val="BodyText"/>
        <w:numPr>
          <w:ilvl w:val="0"/>
          <w:numId w:val="18"/>
        </w:num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支持采纳所有建议。</w:t>
      </w:r>
    </w:p>
    <w:p w14:paraId="5C69C0FB" w14:textId="14571A6B" w:rsidR="00E5754C" w:rsidRDefault="00E5754C" w:rsidP="00840188">
      <w:pPr>
        <w:pStyle w:val="BodyText"/>
        <w:numPr>
          <w:ilvl w:val="0"/>
          <w:numId w:val="18"/>
        </w:num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指出存在分歧的具体领域，并提出替代方案。例如，这可能包括实施流程中存在的待解决的特定问题；以及</w:t>
      </w:r>
      <w:r>
        <w:rPr>
          <w:rFonts w:hint="eastAsia"/>
        </w:rPr>
        <w:t>/</w:t>
      </w:r>
      <w:r>
        <w:rPr>
          <w:rFonts w:hint="eastAsia"/>
        </w:rPr>
        <w:t>或在另一个（或许更简单、占用资源更少）的场合继续审核存在争议的问题。</w:t>
      </w:r>
    </w:p>
    <w:p w14:paraId="412A8102" w14:textId="0FCAFE5F" w:rsidR="00F80CBA" w:rsidRPr="001D03CE" w:rsidRDefault="007F0696" w:rsidP="00840188">
      <w:pPr>
        <w:pStyle w:val="BodyText"/>
        <w:numPr>
          <w:ilvl w:val="0"/>
          <w:numId w:val="18"/>
        </w:numPr>
        <w:overflowPunct w:val="0"/>
        <w:autoSpaceDE w:val="0"/>
        <w:autoSpaceDN w:val="0"/>
        <w:rPr>
          <w:rFonts w:hint="eastAsia"/>
          <w:spacing w:val="-4"/>
        </w:rPr>
      </w:pPr>
      <w:r w:rsidRPr="001D03CE">
        <w:rPr>
          <w:rFonts w:hint="eastAsia"/>
          <w:spacing w:val="-4"/>
        </w:rPr>
        <w:t>对于</w:t>
      </w:r>
      <w:r w:rsidR="009210C3" w:rsidRPr="001D03CE">
        <w:rPr>
          <w:spacing w:val="-4"/>
        </w:rPr>
        <w:t> </w:t>
      </w:r>
      <w:r w:rsidRPr="001D03CE">
        <w:rPr>
          <w:rFonts w:hint="eastAsia"/>
          <w:spacing w:val="-4"/>
        </w:rPr>
        <w:t>CCWG</w:t>
      </w:r>
      <w:r w:rsidR="009210C3" w:rsidRPr="001D03CE">
        <w:rPr>
          <w:spacing w:val="-4"/>
          <w:lang w:val="en-US"/>
        </w:rPr>
        <w:t> </w:t>
      </w:r>
      <w:r w:rsidRPr="001D03CE">
        <w:rPr>
          <w:rFonts w:hint="eastAsia"/>
          <w:spacing w:val="-4"/>
        </w:rPr>
        <w:t>第</w:t>
      </w:r>
      <w:r w:rsidR="009210C3" w:rsidRPr="001D03CE">
        <w:rPr>
          <w:spacing w:val="-4"/>
          <w:lang w:val="en-US"/>
        </w:rPr>
        <w:t> </w:t>
      </w:r>
      <w:r w:rsidRPr="001D03CE">
        <w:rPr>
          <w:rFonts w:hint="eastAsia"/>
          <w:spacing w:val="-4"/>
        </w:rPr>
        <w:t>1</w:t>
      </w:r>
      <w:r w:rsidR="009210C3" w:rsidRPr="001D03CE">
        <w:rPr>
          <w:spacing w:val="-4"/>
          <w:lang w:val="en-US"/>
        </w:rPr>
        <w:t> </w:t>
      </w:r>
      <w:r w:rsidRPr="001D03CE">
        <w:rPr>
          <w:rFonts w:hint="eastAsia"/>
          <w:spacing w:val="-4"/>
        </w:rPr>
        <w:t>工作阶段的建议，</w:t>
      </w:r>
      <w:r w:rsidRPr="001D03CE">
        <w:rPr>
          <w:rFonts w:hint="eastAsia"/>
          <w:spacing w:val="-4"/>
        </w:rPr>
        <w:t>GAC</w:t>
      </w:r>
      <w:r w:rsidR="009210C3" w:rsidRPr="001D03CE">
        <w:rPr>
          <w:spacing w:val="-4"/>
          <w:lang w:val="en-US"/>
        </w:rPr>
        <w:t> </w:t>
      </w:r>
      <w:r w:rsidRPr="001D03CE">
        <w:rPr>
          <w:rFonts w:hint="eastAsia"/>
          <w:spacing w:val="-4"/>
        </w:rPr>
        <w:t>的立场如下：</w:t>
      </w:r>
      <w:r w:rsidRPr="001D03CE">
        <w:rPr>
          <w:rFonts w:hint="eastAsia"/>
          <w:i/>
          <w:spacing w:val="-4"/>
        </w:rPr>
        <w:t>“有些代表表示支持该提案，但也有其他一些代表不赞同提案中的部分内容。尽管意见不统一，但</w:t>
      </w:r>
      <w:r w:rsidR="009210C3" w:rsidRPr="001D03CE">
        <w:rPr>
          <w:i/>
          <w:spacing w:val="-4"/>
          <w:lang w:val="en-US"/>
        </w:rPr>
        <w:t> </w:t>
      </w:r>
      <w:r w:rsidRPr="001D03CE">
        <w:rPr>
          <w:rFonts w:hint="eastAsia"/>
          <w:i/>
          <w:spacing w:val="-4"/>
        </w:rPr>
        <w:t>GAC</w:t>
      </w:r>
      <w:r w:rsidR="009210C3" w:rsidRPr="001D03CE">
        <w:rPr>
          <w:i/>
          <w:spacing w:val="-4"/>
          <w:lang w:val="en-US"/>
        </w:rPr>
        <w:t> </w:t>
      </w:r>
      <w:r w:rsidRPr="001D03CE">
        <w:rPr>
          <w:rFonts w:hint="eastAsia"/>
          <w:i/>
          <w:spacing w:val="-4"/>
        </w:rPr>
        <w:t>未反对将提案转至</w:t>
      </w:r>
      <w:r w:rsidR="009210C3" w:rsidRPr="001D03CE">
        <w:rPr>
          <w:i/>
          <w:spacing w:val="-4"/>
          <w:lang w:val="en-US"/>
        </w:rPr>
        <w:t> </w:t>
      </w:r>
      <w:r w:rsidRPr="001D03CE">
        <w:rPr>
          <w:rFonts w:hint="eastAsia"/>
          <w:i/>
          <w:spacing w:val="-4"/>
        </w:rPr>
        <w:t xml:space="preserve">ICANN </w:t>
      </w:r>
      <w:r w:rsidRPr="001D03CE">
        <w:rPr>
          <w:rFonts w:hint="eastAsia"/>
          <w:i/>
          <w:spacing w:val="-4"/>
        </w:rPr>
        <w:t>董事会。”</w:t>
      </w:r>
      <w:r w:rsidRPr="001D03CE">
        <w:rPr>
          <w:rStyle w:val="FootnoteReference"/>
          <w:rFonts w:hint="eastAsia"/>
          <w:spacing w:val="-4"/>
        </w:rPr>
        <w:footnoteReference w:id="4"/>
      </w:r>
    </w:p>
    <w:p w14:paraId="3B2525D7" w14:textId="6E71691F" w:rsidR="001A5355" w:rsidRDefault="00B1475A" w:rsidP="00840188">
      <w:pPr>
        <w:pStyle w:val="Heading2"/>
        <w:overflowPunct w:val="0"/>
        <w:autoSpaceDE w:val="0"/>
        <w:autoSpaceDN w:val="0"/>
        <w:ind w:right="0"/>
        <w:rPr>
          <w:rFonts w:hint="eastAsia"/>
        </w:rPr>
      </w:pPr>
      <w:r>
        <w:rPr>
          <w:rFonts w:hint="eastAsia"/>
        </w:rPr>
        <w:t>目前状况</w:t>
      </w:r>
    </w:p>
    <w:p w14:paraId="4D89A73C" w14:textId="77777777" w:rsidR="002A182A" w:rsidRDefault="002A182A" w:rsidP="00840188">
      <w:pPr>
        <w:pStyle w:val="BodyText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在编写本简报时：</w:t>
      </w:r>
    </w:p>
    <w:p w14:paraId="7E57F403" w14:textId="071900D1" w:rsidR="008B20BD" w:rsidRDefault="008B20BD" w:rsidP="00840188">
      <w:pPr>
        <w:pStyle w:val="BodyText"/>
        <w:numPr>
          <w:ilvl w:val="0"/>
          <w:numId w:val="19"/>
        </w:numPr>
        <w:overflowPunct w:val="0"/>
        <w:autoSpaceDE w:val="0"/>
        <w:autoSpaceDN w:val="0"/>
        <w:rPr>
          <w:rFonts w:hint="eastAsia"/>
        </w:rPr>
      </w:pPr>
      <w:r w:rsidRPr="008B20BD">
        <w:rPr>
          <w:rFonts w:hint="eastAsia"/>
        </w:rPr>
        <w:t>自</w:t>
      </w:r>
      <w:r w:rsidRPr="008B20BD">
        <w:rPr>
          <w:rFonts w:hint="eastAsia"/>
        </w:rPr>
        <w:t xml:space="preserve"> ICANN </w:t>
      </w:r>
      <w:r w:rsidRPr="008B20BD">
        <w:rPr>
          <w:rFonts w:hint="eastAsia"/>
        </w:rPr>
        <w:t>第</w:t>
      </w:r>
      <w:r w:rsidRPr="008B20BD">
        <w:rPr>
          <w:rFonts w:hint="eastAsia"/>
        </w:rPr>
        <w:t xml:space="preserve"> 61 </w:t>
      </w:r>
      <w:r w:rsidRPr="008B20BD">
        <w:rPr>
          <w:rFonts w:hint="eastAsia"/>
        </w:rPr>
        <w:t>届会议以来未召开过</w:t>
      </w:r>
      <w:r w:rsidRPr="008B20BD">
        <w:rPr>
          <w:rFonts w:hint="eastAsia"/>
        </w:rPr>
        <w:t xml:space="preserve"> CCWG </w:t>
      </w:r>
      <w:r w:rsidRPr="008B20BD">
        <w:rPr>
          <w:rFonts w:hint="eastAsia"/>
        </w:rPr>
        <w:t>全体电话会议。</w:t>
      </w:r>
    </w:p>
    <w:p w14:paraId="1502D2F7" w14:textId="70A591A6" w:rsidR="00207ED8" w:rsidRDefault="002A182A" w:rsidP="00840188">
      <w:pPr>
        <w:pStyle w:val="BodyText"/>
        <w:numPr>
          <w:ilvl w:val="0"/>
          <w:numId w:val="19"/>
        </w:num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CCWG </w:t>
      </w:r>
      <w:r>
        <w:rPr>
          <w:rFonts w:hint="eastAsia"/>
        </w:rPr>
        <w:t>联合主席仍在努力解决</w:t>
      </w:r>
      <w:r>
        <w:rPr>
          <w:rFonts w:hint="eastAsia"/>
        </w:rPr>
        <w:t xml:space="preserve"> ICANN </w:t>
      </w:r>
      <w:r>
        <w:rPr>
          <w:rFonts w:hint="eastAsia"/>
        </w:rPr>
        <w:t>董事会的担忧</w:t>
      </w:r>
      <w:r w:rsidR="008B20BD" w:rsidRPr="008B20BD">
        <w:rPr>
          <w:rFonts w:hint="eastAsia"/>
        </w:rPr>
        <w:t>并草拟了一些建议。</w:t>
      </w:r>
    </w:p>
    <w:p w14:paraId="1E440D17" w14:textId="46B9767A" w:rsidR="002A182A" w:rsidRDefault="002A182A" w:rsidP="00840188">
      <w:pPr>
        <w:pStyle w:val="BodyText"/>
        <w:numPr>
          <w:ilvl w:val="0"/>
          <w:numId w:val="19"/>
        </w:num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需要提交给章程组织</w:t>
      </w:r>
      <w:proofErr w:type="gramStart"/>
      <w:r>
        <w:rPr>
          <w:rFonts w:hint="eastAsia"/>
        </w:rPr>
        <w:t>考量</w:t>
      </w:r>
      <w:proofErr w:type="gramEnd"/>
      <w:r>
        <w:rPr>
          <w:rFonts w:hint="eastAsia"/>
        </w:rPr>
        <w:t>的报告和建议文档尚未定稿。</w:t>
      </w:r>
    </w:p>
    <w:p w14:paraId="03097BF6" w14:textId="5FBAE542" w:rsidR="00D10DB6" w:rsidRDefault="00D10DB6" w:rsidP="00840188">
      <w:pPr>
        <w:pStyle w:val="Heading2"/>
        <w:overflowPunct w:val="0"/>
        <w:autoSpaceDE w:val="0"/>
        <w:autoSpaceDN w:val="0"/>
        <w:ind w:right="0"/>
        <w:rPr>
          <w:rFonts w:hint="eastAsia"/>
        </w:rPr>
      </w:pPr>
      <w:r>
        <w:rPr>
          <w:rFonts w:hint="eastAsia"/>
        </w:rPr>
        <w:t>更多信息</w:t>
      </w:r>
    </w:p>
    <w:p w14:paraId="7C0ED2D3" w14:textId="7821AAFD" w:rsidR="00D10DB6" w:rsidRPr="00D10DB6" w:rsidRDefault="00D10DB6" w:rsidP="009210C3">
      <w:pPr>
        <w:pStyle w:val="BodyText"/>
        <w:overflowPunct w:val="0"/>
        <w:autoSpaceDE w:val="0"/>
        <w:autoSpaceDN w:val="0"/>
        <w:rPr>
          <w:rStyle w:val="Hyperlink"/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"https://community.icann.org/display/WEIA/WS2+-+Enhancing+ICANN+Accountability+Home" </w:instrText>
      </w:r>
      <w:r>
        <w:rPr>
          <w:rFonts w:hint="eastAsia"/>
        </w:rPr>
        <w:fldChar w:fldCharType="separate"/>
      </w:r>
      <w:r>
        <w:rPr>
          <w:rStyle w:val="Hyperlink"/>
          <w:rFonts w:hint="eastAsia"/>
        </w:rPr>
        <w:t>问责制</w:t>
      </w:r>
      <w:r>
        <w:rPr>
          <w:rStyle w:val="Hyperlink"/>
          <w:rFonts w:hint="eastAsia"/>
        </w:rPr>
        <w:t xml:space="preserve"> CCWG </w:t>
      </w:r>
      <w:r>
        <w:rPr>
          <w:rStyle w:val="Hyperlink"/>
          <w:rFonts w:hint="eastAsia"/>
        </w:rPr>
        <w:t>第</w:t>
      </w:r>
      <w:r>
        <w:rPr>
          <w:rStyle w:val="Hyperlink"/>
          <w:rFonts w:hint="eastAsia"/>
        </w:rPr>
        <w:t xml:space="preserve"> 2 </w:t>
      </w:r>
      <w:r>
        <w:rPr>
          <w:rStyle w:val="Hyperlink"/>
          <w:rFonts w:hint="eastAsia"/>
        </w:rPr>
        <w:t>工作阶段</w:t>
      </w:r>
      <w:r>
        <w:rPr>
          <w:rStyle w:val="Hyperlink"/>
          <w:rFonts w:hint="eastAsia"/>
        </w:rPr>
        <w:t xml:space="preserve"> (WS2)</w:t>
      </w:r>
    </w:p>
    <w:p w14:paraId="1FF9F184" w14:textId="3EA997CF" w:rsidR="00D10DB6" w:rsidRPr="00D10DB6" w:rsidRDefault="00D10DB6" w:rsidP="009210C3">
      <w:pPr>
        <w:pStyle w:val="BodyText"/>
        <w:overflowPunct w:val="0"/>
        <w:autoSpaceDE w:val="0"/>
        <w:autoSpaceDN w:val="0"/>
        <w:rPr>
          <w:rStyle w:val="Hyperlink"/>
          <w:rFonts w:hint="eastAsia"/>
        </w:rPr>
      </w:pP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"https://community.icann.org/display/WEIA/Jurisdiction" </w:instrText>
      </w:r>
      <w:r>
        <w:rPr>
          <w:rFonts w:hint="eastAsia"/>
        </w:rPr>
        <w:fldChar w:fldCharType="separate"/>
      </w:r>
      <w:r>
        <w:rPr>
          <w:rStyle w:val="Hyperlink"/>
          <w:rFonts w:hint="eastAsia"/>
        </w:rPr>
        <w:t>问责制</w:t>
      </w:r>
      <w:r>
        <w:rPr>
          <w:rStyle w:val="Hyperlink"/>
          <w:rFonts w:hint="eastAsia"/>
        </w:rPr>
        <w:t xml:space="preserve"> CCWG </w:t>
      </w:r>
      <w:r>
        <w:rPr>
          <w:rStyle w:val="Hyperlink"/>
          <w:rFonts w:hint="eastAsia"/>
        </w:rPr>
        <w:t>管辖权小组</w:t>
      </w:r>
    </w:p>
    <w:p w14:paraId="2A6D99FC" w14:textId="0B31A942" w:rsidR="00D10DB6" w:rsidRDefault="00D10DB6" w:rsidP="009210C3">
      <w:pPr>
        <w:widowControl w:val="0"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 w:hint="eastAsia"/>
          <w:sz w:val="20"/>
          <w:szCs w:val="22"/>
        </w:rPr>
      </w:pPr>
      <w:r>
        <w:rPr>
          <w:rFonts w:ascii="Century Gothic" w:hAnsi="Century Gothic" w:hint="eastAsia"/>
          <w:sz w:val="20"/>
          <w:szCs w:val="22"/>
        </w:rPr>
        <w:fldChar w:fldCharType="end"/>
      </w:r>
      <w:hyperlink r:id="rId10" w:history="1">
        <w:r>
          <w:rPr>
            <w:rStyle w:val="Hyperlink"/>
            <w:rFonts w:ascii="Century Gothic" w:hAnsi="Century Gothic" w:hint="eastAsia"/>
            <w:sz w:val="20"/>
            <w:szCs w:val="22"/>
          </w:rPr>
          <w:t>问责制</w:t>
        </w:r>
        <w:r>
          <w:rPr>
            <w:rStyle w:val="Hyperlink"/>
            <w:rFonts w:ascii="Century Gothic" w:hAnsi="Century Gothic" w:hint="eastAsia"/>
            <w:sz w:val="20"/>
            <w:szCs w:val="22"/>
          </w:rPr>
          <w:t xml:space="preserve"> CCWG </w:t>
        </w:r>
        <w:r>
          <w:rPr>
            <w:rStyle w:val="Hyperlink"/>
            <w:rFonts w:ascii="Century Gothic" w:hAnsi="Century Gothic" w:hint="eastAsia"/>
            <w:sz w:val="20"/>
            <w:szCs w:val="22"/>
          </w:rPr>
          <w:t>多样性小组</w:t>
        </w:r>
      </w:hyperlink>
    </w:p>
    <w:p w14:paraId="18B97190" w14:textId="0B370047" w:rsidR="00C77E9F" w:rsidRDefault="004201C4" w:rsidP="009210C3">
      <w:pPr>
        <w:widowControl w:val="0"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 w:hint="eastAsia"/>
          <w:sz w:val="20"/>
          <w:szCs w:val="22"/>
        </w:rPr>
      </w:pPr>
      <w:hyperlink r:id="rId11" w:history="1">
        <w:r w:rsidR="00696FFE">
          <w:rPr>
            <w:rStyle w:val="Hyperlink"/>
            <w:rFonts w:ascii="Century Gothic" w:hAnsi="Century Gothic" w:hint="eastAsia"/>
            <w:sz w:val="20"/>
            <w:szCs w:val="22"/>
          </w:rPr>
          <w:t>问责制</w:t>
        </w:r>
        <w:r w:rsidR="00696FFE">
          <w:rPr>
            <w:rStyle w:val="Hyperlink"/>
            <w:rFonts w:ascii="Century Gothic" w:hAnsi="Century Gothic" w:hint="eastAsia"/>
            <w:sz w:val="20"/>
            <w:szCs w:val="22"/>
          </w:rPr>
          <w:t xml:space="preserve"> CCWG </w:t>
        </w:r>
        <w:r w:rsidR="00696FFE">
          <w:rPr>
            <w:rStyle w:val="Hyperlink"/>
            <w:rFonts w:ascii="Century Gothic" w:hAnsi="Century Gothic" w:hint="eastAsia"/>
            <w:sz w:val="20"/>
            <w:szCs w:val="22"/>
          </w:rPr>
          <w:t>人权小组</w:t>
        </w:r>
      </w:hyperlink>
    </w:p>
    <w:p w14:paraId="0BFFDDDE" w14:textId="58125937" w:rsidR="00C77E9F" w:rsidRDefault="004201C4" w:rsidP="009210C3">
      <w:pPr>
        <w:widowControl w:val="0"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 w:hint="eastAsia"/>
          <w:sz w:val="20"/>
          <w:szCs w:val="22"/>
        </w:rPr>
      </w:pPr>
      <w:hyperlink r:id="rId12" w:history="1">
        <w:r w:rsidR="00696FFE">
          <w:rPr>
            <w:rStyle w:val="Hyperlink"/>
            <w:rFonts w:ascii="Century Gothic" w:hAnsi="Century Gothic" w:hint="eastAsia"/>
            <w:sz w:val="20"/>
            <w:szCs w:val="22"/>
          </w:rPr>
          <w:t>问责制</w:t>
        </w:r>
        <w:r w:rsidR="00696FFE">
          <w:rPr>
            <w:rStyle w:val="Hyperlink"/>
            <w:rFonts w:ascii="Century Gothic" w:hAnsi="Century Gothic" w:hint="eastAsia"/>
            <w:sz w:val="20"/>
            <w:szCs w:val="22"/>
          </w:rPr>
          <w:t xml:space="preserve"> CCWG SO/AC </w:t>
        </w:r>
        <w:r w:rsidR="00696FFE">
          <w:rPr>
            <w:rStyle w:val="Hyperlink"/>
            <w:rFonts w:ascii="Century Gothic" w:hAnsi="Century Gothic" w:hint="eastAsia"/>
            <w:sz w:val="20"/>
            <w:szCs w:val="22"/>
          </w:rPr>
          <w:t>问责制小组</w:t>
        </w:r>
      </w:hyperlink>
    </w:p>
    <w:p w14:paraId="1C7B89B9" w14:textId="77777777" w:rsidR="00D10DB6" w:rsidRDefault="00D10DB6" w:rsidP="00840188">
      <w:pPr>
        <w:pStyle w:val="Heading2"/>
        <w:overflowPunct w:val="0"/>
        <w:autoSpaceDE w:val="0"/>
        <w:autoSpaceDN w:val="0"/>
        <w:ind w:right="0"/>
        <w:rPr>
          <w:rFonts w:hint="eastAsia"/>
        </w:rPr>
      </w:pPr>
      <w:bookmarkStart w:id="1" w:name="_Hlk484433727"/>
      <w:r>
        <w:rPr>
          <w:rFonts w:hint="eastAsia"/>
        </w:rPr>
        <w:t>文档管理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D10DB6" w:rsidRPr="003F43E3" w14:paraId="78B133EA" w14:textId="77777777" w:rsidTr="00A30382">
        <w:tc>
          <w:tcPr>
            <w:tcW w:w="3261" w:type="dxa"/>
            <w:vAlign w:val="center"/>
          </w:tcPr>
          <w:p w14:paraId="4A5F30A2" w14:textId="77777777" w:rsidR="00D10DB6" w:rsidRPr="003F43E3" w:rsidRDefault="00D10DB6" w:rsidP="00840188">
            <w:pPr>
              <w:overflowPunct w:val="0"/>
              <w:autoSpaceDE w:val="0"/>
              <w:autoSpaceDN w:val="0"/>
              <w:rPr>
                <w:rFonts w:ascii="Century Gothic" w:eastAsiaTheme="minorEastAsia" w:hAnsi="Century Gothic" w:cstheme="minorBidi" w:hint="eastAsia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标题</w:t>
            </w:r>
          </w:p>
        </w:tc>
        <w:tc>
          <w:tcPr>
            <w:tcW w:w="5811" w:type="dxa"/>
            <w:vAlign w:val="center"/>
          </w:tcPr>
          <w:p w14:paraId="40D9A58F" w14:textId="274AF380" w:rsidR="00D10DB6" w:rsidRPr="00EA3A02" w:rsidRDefault="00C77E9F" w:rsidP="00840188">
            <w:pPr>
              <w:overflowPunct w:val="0"/>
              <w:autoSpaceDE w:val="0"/>
              <w:autoSpaceDN w:val="0"/>
              <w:rPr>
                <w:rFonts w:ascii="Century Gothic" w:eastAsiaTheme="minorEastAsia" w:hAnsi="Century Gothic" w:cstheme="minorBidi" w:hint="eastAsia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>问责制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CCWG </w:t>
            </w:r>
            <w:r>
              <w:rPr>
                <w:rFonts w:ascii="Century Gothic" w:hAnsi="Century Gothic" w:hint="eastAsia"/>
                <w:sz w:val="20"/>
                <w:szCs w:val="20"/>
              </w:rPr>
              <w:t>第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2 </w:t>
            </w:r>
            <w:r>
              <w:rPr>
                <w:rFonts w:ascii="Century Gothic" w:hAnsi="Century Gothic" w:hint="eastAsia"/>
                <w:sz w:val="20"/>
                <w:szCs w:val="20"/>
              </w:rPr>
              <w:t>工作阶段最新动态</w:t>
            </w:r>
          </w:p>
        </w:tc>
      </w:tr>
      <w:tr w:rsidR="00D10DB6" w:rsidRPr="003F43E3" w14:paraId="3293C14D" w14:textId="77777777" w:rsidTr="00A30382">
        <w:tc>
          <w:tcPr>
            <w:tcW w:w="3261" w:type="dxa"/>
            <w:vAlign w:val="center"/>
          </w:tcPr>
          <w:p w14:paraId="248CAC85" w14:textId="77777777" w:rsidR="00D10DB6" w:rsidRPr="003F43E3" w:rsidRDefault="00D10DB6" w:rsidP="00840188">
            <w:pPr>
              <w:overflowPunct w:val="0"/>
              <w:autoSpaceDE w:val="0"/>
              <w:autoSpaceDN w:val="0"/>
              <w:rPr>
                <w:rFonts w:ascii="Century Gothic" w:eastAsiaTheme="minorEastAsia" w:hAnsi="Century Gothic" w:cstheme="minorBidi" w:hint="eastAsia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分发对象</w:t>
            </w:r>
          </w:p>
        </w:tc>
        <w:tc>
          <w:tcPr>
            <w:tcW w:w="5811" w:type="dxa"/>
            <w:vAlign w:val="center"/>
          </w:tcPr>
          <w:p w14:paraId="43C3334C" w14:textId="77777777" w:rsidR="00D10DB6" w:rsidRPr="003F43E3" w:rsidRDefault="00D10DB6" w:rsidP="00840188">
            <w:pPr>
              <w:overflowPunct w:val="0"/>
              <w:autoSpaceDE w:val="0"/>
              <w:autoSpaceDN w:val="0"/>
              <w:rPr>
                <w:rFonts w:ascii="Century Gothic" w:eastAsiaTheme="minorEastAsia" w:hAnsi="Century Gothic" w:cstheme="minorBidi" w:hint="eastAsia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 xml:space="preserve">GAC </w:t>
            </w:r>
            <w:r>
              <w:rPr>
                <w:rFonts w:ascii="Century Gothic" w:hAnsi="Century Gothic" w:hint="eastAsia"/>
                <w:sz w:val="20"/>
                <w:szCs w:val="20"/>
              </w:rPr>
              <w:t>成员</w:t>
            </w:r>
          </w:p>
        </w:tc>
      </w:tr>
      <w:tr w:rsidR="00D10DB6" w:rsidRPr="003F43E3" w14:paraId="08CDC155" w14:textId="77777777" w:rsidTr="00A30382">
        <w:tc>
          <w:tcPr>
            <w:tcW w:w="3261" w:type="dxa"/>
            <w:vAlign w:val="center"/>
          </w:tcPr>
          <w:p w14:paraId="696B86E1" w14:textId="77777777" w:rsidR="00D10DB6" w:rsidRPr="003F43E3" w:rsidRDefault="00D10DB6" w:rsidP="00840188">
            <w:pPr>
              <w:overflowPunct w:val="0"/>
              <w:autoSpaceDE w:val="0"/>
              <w:autoSpaceDN w:val="0"/>
              <w:rPr>
                <w:rFonts w:ascii="Century Gothic" w:eastAsiaTheme="minorEastAsia" w:hAnsi="Century Gothic" w:cstheme="minorBidi" w:hint="eastAsia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分发日期</w:t>
            </w:r>
          </w:p>
        </w:tc>
        <w:tc>
          <w:tcPr>
            <w:tcW w:w="5811" w:type="dxa"/>
            <w:vAlign w:val="center"/>
          </w:tcPr>
          <w:p w14:paraId="2892A01A" w14:textId="77777777" w:rsidR="00D10DB6" w:rsidRDefault="008B20BD" w:rsidP="00840188">
            <w:pPr>
              <w:overflowPunct w:val="0"/>
              <w:autoSpaceDE w:val="0"/>
              <w:autoSpaceDN w:val="0"/>
              <w:rPr>
                <w:rFonts w:ascii="Century Gothic" w:hAnsi="Century Gothic" w:hint="eastAsia"/>
                <w:sz w:val="20"/>
                <w:szCs w:val="20"/>
              </w:rPr>
            </w:pPr>
            <w:r w:rsidRPr="008B20BD">
              <w:rPr>
                <w:rFonts w:ascii="Century Gothic" w:hAnsi="Century Gothic" w:hint="eastAsia"/>
                <w:sz w:val="20"/>
                <w:szCs w:val="20"/>
              </w:rPr>
              <w:t>第</w:t>
            </w:r>
            <w:r w:rsidRPr="008B20BD">
              <w:rPr>
                <w:rFonts w:ascii="Century Gothic" w:hAnsi="Century Gothic" w:hint="eastAsia"/>
                <w:sz w:val="20"/>
                <w:szCs w:val="20"/>
              </w:rPr>
              <w:t xml:space="preserve"> 1.0 </w:t>
            </w:r>
            <w:r w:rsidRPr="008B20BD">
              <w:rPr>
                <w:rFonts w:ascii="Century Gothic" w:hAnsi="Century Gothic" w:hint="eastAsia"/>
                <w:sz w:val="20"/>
                <w:szCs w:val="20"/>
              </w:rPr>
              <w:t>版：</w:t>
            </w:r>
            <w:r w:rsidR="00181D77">
              <w:rPr>
                <w:rFonts w:ascii="Century Gothic" w:hAnsi="Century Gothic" w:hint="eastAsia"/>
                <w:sz w:val="20"/>
                <w:szCs w:val="20"/>
              </w:rPr>
              <w:t xml:space="preserve">2018 </w:t>
            </w:r>
            <w:r w:rsidR="00181D77">
              <w:rPr>
                <w:rFonts w:ascii="Century Gothic" w:hAnsi="Century Gothic" w:hint="eastAsia"/>
                <w:sz w:val="20"/>
                <w:szCs w:val="20"/>
              </w:rPr>
              <w:t>年</w:t>
            </w:r>
            <w:r w:rsidR="00181D77">
              <w:rPr>
                <w:rFonts w:ascii="Century Gothic" w:hAnsi="Century Gothic" w:hint="eastAsia"/>
                <w:sz w:val="20"/>
                <w:szCs w:val="20"/>
              </w:rPr>
              <w:t xml:space="preserve"> 6 </w:t>
            </w:r>
            <w:r w:rsidR="00181D77">
              <w:rPr>
                <w:rFonts w:ascii="Century Gothic" w:hAnsi="Century Gothic" w:hint="eastAsia"/>
                <w:sz w:val="20"/>
                <w:szCs w:val="20"/>
              </w:rPr>
              <w:t>月</w:t>
            </w:r>
            <w:r w:rsidR="00181D77">
              <w:rPr>
                <w:rFonts w:ascii="Century Gothic" w:hAnsi="Century Gothic" w:hint="eastAsia"/>
                <w:sz w:val="20"/>
                <w:szCs w:val="20"/>
              </w:rPr>
              <w:t xml:space="preserve"> 7 </w:t>
            </w:r>
            <w:r w:rsidR="00181D77">
              <w:rPr>
                <w:rFonts w:ascii="Century Gothic" w:hAnsi="Century Gothic" w:hint="eastAsia"/>
                <w:sz w:val="20"/>
                <w:szCs w:val="20"/>
              </w:rPr>
              <w:t>日</w:t>
            </w:r>
          </w:p>
          <w:p w14:paraId="5D2252C2" w14:textId="7D464795" w:rsidR="008B20BD" w:rsidRPr="003F43E3" w:rsidRDefault="008B20BD" w:rsidP="00840188">
            <w:pPr>
              <w:overflowPunct w:val="0"/>
              <w:autoSpaceDE w:val="0"/>
              <w:autoSpaceDN w:val="0"/>
              <w:rPr>
                <w:rFonts w:ascii="Century Gothic" w:eastAsiaTheme="minorEastAsia" w:hAnsi="Century Gothic" w:cstheme="minorBidi" w:hint="eastAsia"/>
                <w:sz w:val="20"/>
                <w:szCs w:val="20"/>
              </w:rPr>
            </w:pPr>
            <w:r w:rsidRPr="008B20BD">
              <w:rPr>
                <w:rFonts w:ascii="Century Gothic" w:eastAsiaTheme="minorEastAsia" w:hAnsi="Century Gothic" w:cstheme="minorBidi" w:hint="eastAsia"/>
                <w:sz w:val="20"/>
                <w:szCs w:val="20"/>
              </w:rPr>
              <w:t>第</w:t>
            </w:r>
            <w:r w:rsidRPr="008B20BD">
              <w:rPr>
                <w:rFonts w:ascii="Century Gothic" w:eastAsiaTheme="minorEastAsia" w:hAnsi="Century Gothic" w:cstheme="minorBidi" w:hint="eastAsia"/>
                <w:sz w:val="20"/>
                <w:szCs w:val="20"/>
              </w:rPr>
              <w:t xml:space="preserve"> 1.1 </w:t>
            </w:r>
            <w:r w:rsidRPr="008B20BD">
              <w:rPr>
                <w:rFonts w:ascii="Century Gothic" w:eastAsiaTheme="minorEastAsia" w:hAnsi="Century Gothic" w:cstheme="minorBidi" w:hint="eastAsia"/>
                <w:sz w:val="20"/>
                <w:szCs w:val="20"/>
              </w:rPr>
              <w:t>版：</w:t>
            </w:r>
            <w:r w:rsidRPr="008B20BD">
              <w:rPr>
                <w:rFonts w:ascii="Century Gothic" w:eastAsiaTheme="minorEastAsia" w:hAnsi="Century Gothic" w:cstheme="minorBidi" w:hint="eastAsia"/>
                <w:sz w:val="20"/>
                <w:szCs w:val="20"/>
              </w:rPr>
              <w:t xml:space="preserve">2018 </w:t>
            </w:r>
            <w:r w:rsidRPr="008B20BD">
              <w:rPr>
                <w:rFonts w:ascii="Century Gothic" w:eastAsiaTheme="minorEastAsia" w:hAnsi="Century Gothic" w:cstheme="minorBidi" w:hint="eastAsia"/>
                <w:sz w:val="20"/>
                <w:szCs w:val="20"/>
              </w:rPr>
              <w:t>年</w:t>
            </w:r>
            <w:r w:rsidRPr="008B20BD">
              <w:rPr>
                <w:rFonts w:ascii="Century Gothic" w:eastAsiaTheme="minorEastAsia" w:hAnsi="Century Gothic" w:cstheme="minorBidi" w:hint="eastAsia"/>
                <w:sz w:val="20"/>
                <w:szCs w:val="20"/>
              </w:rPr>
              <w:t xml:space="preserve"> 6 </w:t>
            </w:r>
            <w:r w:rsidRPr="008B20BD">
              <w:rPr>
                <w:rFonts w:ascii="Century Gothic" w:eastAsiaTheme="minorEastAsia" w:hAnsi="Century Gothic" w:cstheme="minorBidi" w:hint="eastAsia"/>
                <w:sz w:val="20"/>
                <w:szCs w:val="20"/>
              </w:rPr>
              <w:t>月</w:t>
            </w:r>
            <w:r w:rsidRPr="008B20BD">
              <w:rPr>
                <w:rFonts w:ascii="Century Gothic" w:eastAsiaTheme="minorEastAsia" w:hAnsi="Century Gothic" w:cstheme="minorBidi" w:hint="eastAsia"/>
                <w:sz w:val="20"/>
                <w:szCs w:val="20"/>
              </w:rPr>
              <w:t xml:space="preserve"> 14 </w:t>
            </w:r>
            <w:r w:rsidRPr="008B20BD">
              <w:rPr>
                <w:rFonts w:ascii="Century Gothic" w:eastAsiaTheme="minorEastAsia" w:hAnsi="Century Gothic" w:cstheme="minorBidi" w:hint="eastAsia"/>
                <w:sz w:val="20"/>
                <w:szCs w:val="20"/>
              </w:rPr>
              <w:t>日</w:t>
            </w:r>
          </w:p>
        </w:tc>
      </w:tr>
      <w:bookmarkEnd w:id="1"/>
    </w:tbl>
    <w:p w14:paraId="5CB2C162" w14:textId="77777777" w:rsidR="00D10DB6" w:rsidRDefault="00D10DB6" w:rsidP="00840188">
      <w:pPr>
        <w:pStyle w:val="BodyText"/>
        <w:overflowPunct w:val="0"/>
        <w:autoSpaceDE w:val="0"/>
        <w:autoSpaceDN w:val="0"/>
        <w:rPr>
          <w:rFonts w:hint="eastAsia"/>
        </w:rPr>
      </w:pPr>
    </w:p>
    <w:p w14:paraId="1A24273E" w14:textId="77777777" w:rsidR="00EA3A02" w:rsidRDefault="00EA3A02" w:rsidP="00840188">
      <w:pPr>
        <w:pStyle w:val="BodyText"/>
        <w:overflowPunct w:val="0"/>
        <w:autoSpaceDE w:val="0"/>
        <w:autoSpaceDN w:val="0"/>
        <w:rPr>
          <w:rFonts w:hint="eastAsia"/>
        </w:rPr>
      </w:pPr>
    </w:p>
    <w:sectPr w:rsidR="00EA3A02" w:rsidSect="00840188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389" w:right="1395" w:bottom="1440" w:left="144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923F9" w14:textId="77777777" w:rsidR="004201C4" w:rsidRDefault="004201C4" w:rsidP="00A24449">
      <w:r>
        <w:separator/>
      </w:r>
    </w:p>
  </w:endnote>
  <w:endnote w:type="continuationSeparator" w:id="0">
    <w:p w14:paraId="0E70D754" w14:textId="77777777" w:rsidR="004201C4" w:rsidRDefault="004201C4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6EB9D" w14:textId="7355FDA1" w:rsidR="00265E52" w:rsidRDefault="00265E52" w:rsidP="00840188">
    <w:pPr>
      <w:pStyle w:val="Footer"/>
      <w:autoSpaceDE w:val="0"/>
      <w:autoSpaceDN w:val="0"/>
      <w:rPr>
        <w:rFonts w:hint="eastAsia"/>
      </w:rPr>
    </w:pPr>
  </w:p>
  <w:p w14:paraId="22C9A9EC" w14:textId="7436D943" w:rsidR="00265E52" w:rsidRPr="00E57EA6" w:rsidRDefault="00265E52" w:rsidP="00840188">
    <w:pPr>
      <w:pBdr>
        <w:top w:val="single" w:sz="18" w:space="1" w:color="1F497D"/>
      </w:pBdr>
      <w:autoSpaceDE w:val="0"/>
      <w:autoSpaceDN w:val="0"/>
      <w:spacing w:before="240"/>
      <w:jc w:val="right"/>
      <w:rPr>
        <w:rFonts w:ascii="Century Gothic" w:hAnsi="Century Gothic" w:hint="eastAsia"/>
        <w:color w:val="00408E"/>
        <w:sz w:val="16"/>
        <w:szCs w:val="16"/>
      </w:rPr>
    </w:pPr>
    <w:r>
      <w:rPr>
        <w:rFonts w:ascii="Century Gothic" w:hAnsi="Century Gothic" w:hint="eastAsia"/>
        <w:color w:val="00408E"/>
        <w:sz w:val="16"/>
        <w:szCs w:val="16"/>
      </w:rPr>
      <w:t>第</w:t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 w:rsidRPr="00B026C8">
      <w:rPr>
        <w:rFonts w:ascii="Century Gothic" w:hAnsi="Century Gothic" w:hint="eastAsia"/>
        <w:color w:val="00408E"/>
        <w:sz w:val="16"/>
        <w:szCs w:val="16"/>
      </w:rPr>
      <w:fldChar w:fldCharType="begin"/>
    </w:r>
    <w:r w:rsidRPr="00B026C8">
      <w:rPr>
        <w:rFonts w:ascii="Century Gothic" w:hAnsi="Century Gothic" w:hint="eastAsia"/>
        <w:color w:val="00408E"/>
        <w:sz w:val="16"/>
        <w:szCs w:val="16"/>
      </w:rPr>
      <w:instrText xml:space="preserve"> PAGE </w:instrText>
    </w:r>
    <w:r w:rsidRPr="00B026C8">
      <w:rPr>
        <w:rFonts w:ascii="Century Gothic" w:hAnsi="Century Gothic" w:hint="eastAsia"/>
        <w:color w:val="00408E"/>
        <w:sz w:val="16"/>
        <w:szCs w:val="16"/>
      </w:rPr>
      <w:fldChar w:fldCharType="separate"/>
    </w:r>
    <w:r w:rsidR="003C7A05">
      <w:rPr>
        <w:rFonts w:ascii="Century Gothic" w:hAnsi="Century Gothic" w:hint="eastAsia"/>
        <w:noProof/>
        <w:color w:val="00408E"/>
        <w:sz w:val="16"/>
        <w:szCs w:val="16"/>
      </w:rPr>
      <w:t>4</w:t>
    </w:r>
    <w:r w:rsidRPr="00B026C8">
      <w:rPr>
        <w:rFonts w:ascii="Century Gothic" w:hAnsi="Century Gothic" w:hint="eastAsia"/>
        <w:color w:val="00408E"/>
        <w:sz w:val="16"/>
        <w:szCs w:val="16"/>
      </w:rPr>
      <w:fldChar w:fldCharType="end"/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>
      <w:rPr>
        <w:rFonts w:ascii="Century Gothic" w:hAnsi="Century Gothic" w:hint="eastAsia"/>
        <w:color w:val="00408E"/>
        <w:sz w:val="16"/>
        <w:szCs w:val="16"/>
      </w:rPr>
      <w:t>页，共</w:t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 w:rsidRPr="00B026C8">
      <w:rPr>
        <w:rFonts w:ascii="Century Gothic" w:hAnsi="Century Gothic" w:hint="eastAsia"/>
        <w:color w:val="00408E"/>
        <w:sz w:val="16"/>
        <w:szCs w:val="16"/>
      </w:rPr>
      <w:fldChar w:fldCharType="begin"/>
    </w:r>
    <w:r w:rsidRPr="00B026C8">
      <w:rPr>
        <w:rFonts w:ascii="Century Gothic" w:hAnsi="Century Gothic" w:hint="eastAsia"/>
        <w:color w:val="00408E"/>
        <w:sz w:val="16"/>
        <w:szCs w:val="16"/>
      </w:rPr>
      <w:instrText xml:space="preserve"> NUMPAGES  </w:instrText>
    </w:r>
    <w:r w:rsidRPr="00B026C8">
      <w:rPr>
        <w:rFonts w:ascii="Century Gothic" w:hAnsi="Century Gothic" w:hint="eastAsia"/>
        <w:color w:val="00408E"/>
        <w:sz w:val="16"/>
        <w:szCs w:val="16"/>
      </w:rPr>
      <w:fldChar w:fldCharType="separate"/>
    </w:r>
    <w:r w:rsidR="003C7A05">
      <w:rPr>
        <w:rFonts w:ascii="Century Gothic" w:hAnsi="Century Gothic" w:hint="eastAsia"/>
        <w:noProof/>
        <w:color w:val="00408E"/>
        <w:sz w:val="16"/>
        <w:szCs w:val="16"/>
      </w:rPr>
      <w:t>4</w:t>
    </w:r>
    <w:r w:rsidRPr="00B026C8">
      <w:rPr>
        <w:rFonts w:ascii="Century Gothic" w:hAnsi="Century Gothic" w:hint="eastAsia"/>
        <w:color w:val="00408E"/>
        <w:sz w:val="16"/>
        <w:szCs w:val="16"/>
      </w:rPr>
      <w:fldChar w:fldCharType="end"/>
    </w:r>
    <w:r w:rsidR="00840188">
      <w:rPr>
        <w:rFonts w:ascii="Century Gothic" w:hAnsi="Century Gothic"/>
        <w:color w:val="00408E"/>
        <w:sz w:val="16"/>
        <w:szCs w:val="16"/>
      </w:rPr>
      <w:t xml:space="preserve"> </w:t>
    </w:r>
    <w:r w:rsidRPr="00E57EA6">
      <w:rPr>
        <w:rFonts w:ascii="Century Gothic" w:hAnsi="Century Gothic" w:hint="eastAsia"/>
        <w:color w:val="00408E"/>
        <w:sz w:val="16"/>
        <w:szCs w:val="16"/>
      </w:rPr>
      <w:t>页</w:t>
    </w:r>
  </w:p>
  <w:p w14:paraId="2D888BF1" w14:textId="77777777" w:rsidR="00265E52" w:rsidRPr="000C0FD7" w:rsidRDefault="00265E52" w:rsidP="00840188">
    <w:pPr>
      <w:pStyle w:val="Footer"/>
      <w:tabs>
        <w:tab w:val="clear" w:pos="9360"/>
        <w:tab w:val="right" w:pos="8931"/>
      </w:tabs>
      <w:autoSpaceDE w:val="0"/>
      <w:autoSpaceDN w:val="0"/>
      <w:rPr>
        <w:rFonts w:hint="eastAsi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083CC" w14:textId="77777777" w:rsidR="00265E52" w:rsidRPr="00C2562C" w:rsidRDefault="00265E52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4E0CE35E" w14:textId="77777777" w:rsidR="00265E52" w:rsidRPr="00B026C8" w:rsidRDefault="00265E52" w:rsidP="00740F60">
    <w:pPr>
      <w:pStyle w:val="NoSpacing"/>
      <w:ind w:right="544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203 Drummond Street, Carlton VIC 3053 </w:t>
    </w:r>
  </w:p>
  <w:p w14:paraId="5F7B5C75" w14:textId="77777777" w:rsidR="00265E52" w:rsidRPr="00B026C8" w:rsidRDefault="00265E52" w:rsidP="00740F60">
    <w:pPr>
      <w:pStyle w:val="NoSpacing"/>
      <w:ind w:right="544"/>
      <w:jc w:val="right"/>
      <w:rPr>
        <w:sz w:val="16"/>
        <w:szCs w:val="16"/>
      </w:rPr>
    </w:pPr>
    <w:r>
      <w:rPr>
        <w:rFonts w:hint="eastAsia"/>
        <w:sz w:val="16"/>
        <w:szCs w:val="16"/>
      </w:rPr>
      <w:t>03 9650 7222</w:t>
    </w:r>
  </w:p>
  <w:p w14:paraId="1A96EBCB" w14:textId="77777777" w:rsidR="00265E52" w:rsidRPr="00B026C8" w:rsidRDefault="00265E52" w:rsidP="00740F60">
    <w:pPr>
      <w:pStyle w:val="NoSpacing"/>
      <w:ind w:right="544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www.acig.com.au </w:t>
    </w:r>
  </w:p>
  <w:p w14:paraId="2AE084D1" w14:textId="77777777" w:rsidR="00265E52" w:rsidRDefault="00265E52" w:rsidP="003D7A8D">
    <w:pPr>
      <w:pStyle w:val="Footer"/>
      <w:jc w:val="center"/>
      <w:rPr>
        <w:color w:val="00408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E0B07" w14:textId="77777777" w:rsidR="004201C4" w:rsidRDefault="004201C4" w:rsidP="00A24449">
      <w:r>
        <w:separator/>
      </w:r>
    </w:p>
  </w:footnote>
  <w:footnote w:type="continuationSeparator" w:id="0">
    <w:p w14:paraId="4F1C9064" w14:textId="77777777" w:rsidR="004201C4" w:rsidRDefault="004201C4" w:rsidP="00A24449">
      <w:r>
        <w:continuationSeparator/>
      </w:r>
    </w:p>
  </w:footnote>
  <w:footnote w:id="1">
    <w:p w14:paraId="435DD598" w14:textId="25A61BBE" w:rsidR="006B7BEC" w:rsidRPr="006B7BEC" w:rsidRDefault="006B7BEC">
      <w:pPr>
        <w:pStyle w:val="FootnoteText"/>
        <w:rPr>
          <w:rFonts w:ascii="Century Gothic" w:hAnsi="Century Gothic"/>
          <w:sz w:val="18"/>
          <w:szCs w:val="18"/>
        </w:rPr>
      </w:pPr>
      <w:r>
        <w:rPr>
          <w:rStyle w:val="FootnoteReference"/>
          <w:rFonts w:ascii="Century Gothic" w:hAnsi="Century Gothic"/>
          <w:sz w:val="18"/>
          <w:szCs w:val="18"/>
        </w:rPr>
        <w:footnoteRef/>
      </w:r>
      <w:r w:rsidR="00E57EA6">
        <w:rPr>
          <w:rFonts w:ascii="Century Gothic" w:hAnsi="Century Gothic" w:hint="eastAsia"/>
          <w:sz w:val="18"/>
          <w:szCs w:val="18"/>
        </w:rPr>
        <w:t xml:space="preserve"> </w:t>
      </w:r>
      <w:r>
        <w:rPr>
          <w:rFonts w:ascii="Century Gothic" w:hAnsi="Century Gothic" w:hint="eastAsia"/>
          <w:sz w:val="18"/>
          <w:szCs w:val="18"/>
        </w:rPr>
        <w:t>法国：</w:t>
      </w:r>
      <w:hyperlink r:id="rId1" w:history="1">
        <w:r>
          <w:rPr>
            <w:rStyle w:val="Hyperlink"/>
            <w:rFonts w:ascii="Century Gothic" w:hAnsi="Century Gothic" w:hint="eastAsia"/>
            <w:sz w:val="18"/>
            <w:szCs w:val="18"/>
          </w:rPr>
          <w:t>就多样性提交的公众意见</w:t>
        </w:r>
      </w:hyperlink>
    </w:p>
  </w:footnote>
  <w:footnote w:id="2">
    <w:p w14:paraId="0C000A08" w14:textId="70830457" w:rsidR="00927979" w:rsidRPr="00E15156" w:rsidRDefault="00927979">
      <w:pPr>
        <w:pStyle w:val="FootnoteText"/>
        <w:rPr>
          <w:rFonts w:ascii="Century Gothic" w:hAnsi="Century Gothic"/>
          <w:sz w:val="18"/>
          <w:szCs w:val="18"/>
        </w:rPr>
      </w:pPr>
      <w:r>
        <w:rPr>
          <w:rStyle w:val="FootnoteReference"/>
          <w:rFonts w:ascii="Century Gothic" w:hAnsi="Century Gothic"/>
          <w:sz w:val="18"/>
          <w:szCs w:val="18"/>
        </w:rPr>
        <w:footnoteRef/>
      </w:r>
      <w:r w:rsidR="00E57EA6">
        <w:rPr>
          <w:rFonts w:ascii="Century Gothic" w:hAnsi="Century Gothic" w:hint="eastAsia"/>
          <w:sz w:val="18"/>
          <w:szCs w:val="18"/>
        </w:rPr>
        <w:t xml:space="preserve"> </w:t>
      </w:r>
      <w:r>
        <w:rPr>
          <w:rFonts w:ascii="Century Gothic" w:hAnsi="Century Gothic" w:hint="eastAsia"/>
          <w:sz w:val="18"/>
          <w:szCs w:val="18"/>
        </w:rPr>
        <w:t>法国：</w:t>
      </w:r>
      <w:hyperlink r:id="rId2" w:history="1">
        <w:r>
          <w:rPr>
            <w:rStyle w:val="Hyperlink"/>
            <w:rFonts w:ascii="Century Gothic" w:hAnsi="Century Gothic" w:hint="eastAsia"/>
            <w:sz w:val="18"/>
            <w:szCs w:val="18"/>
          </w:rPr>
          <w:t>就管辖权提交的公众意见</w:t>
        </w:r>
      </w:hyperlink>
    </w:p>
  </w:footnote>
  <w:footnote w:id="3">
    <w:p w14:paraId="407CF1D4" w14:textId="6D4A5FE9" w:rsidR="00E15156" w:rsidRDefault="00E15156">
      <w:pPr>
        <w:pStyle w:val="FootnoteText"/>
      </w:pPr>
      <w:r>
        <w:rPr>
          <w:rStyle w:val="FootnoteReference"/>
          <w:rFonts w:ascii="Century Gothic" w:hAnsi="Century Gothic"/>
          <w:sz w:val="18"/>
          <w:szCs w:val="18"/>
        </w:rPr>
        <w:footnoteRef/>
      </w:r>
      <w:r w:rsidR="00E57EA6">
        <w:rPr>
          <w:rFonts w:ascii="Century Gothic" w:hAnsi="Century Gothic" w:hint="eastAsia"/>
          <w:sz w:val="18"/>
          <w:szCs w:val="18"/>
        </w:rPr>
        <w:t xml:space="preserve"> </w:t>
      </w:r>
      <w:r>
        <w:rPr>
          <w:rFonts w:ascii="Century Gothic" w:hAnsi="Century Gothic" w:hint="eastAsia"/>
          <w:sz w:val="18"/>
          <w:szCs w:val="18"/>
        </w:rPr>
        <w:t>巴西：会议前向秘书处和</w:t>
      </w:r>
      <w:r>
        <w:rPr>
          <w:rFonts w:ascii="Century Gothic" w:hAnsi="Century Gothic" w:hint="eastAsia"/>
          <w:sz w:val="18"/>
          <w:szCs w:val="18"/>
        </w:rPr>
        <w:t xml:space="preserve"> GAC </w:t>
      </w:r>
      <w:r>
        <w:rPr>
          <w:rFonts w:ascii="Century Gothic" w:hAnsi="Century Gothic" w:hint="eastAsia"/>
          <w:sz w:val="18"/>
          <w:szCs w:val="18"/>
        </w:rPr>
        <w:t>委派的</w:t>
      </w:r>
      <w:r>
        <w:rPr>
          <w:rFonts w:ascii="Century Gothic" w:hAnsi="Century Gothic" w:hint="eastAsia"/>
          <w:sz w:val="18"/>
          <w:szCs w:val="18"/>
        </w:rPr>
        <w:t xml:space="preserve"> CCWG </w:t>
      </w:r>
      <w:r>
        <w:rPr>
          <w:rFonts w:ascii="Century Gothic" w:hAnsi="Century Gothic" w:hint="eastAsia"/>
          <w:sz w:val="18"/>
          <w:szCs w:val="18"/>
        </w:rPr>
        <w:t>成员提出的建议</w:t>
      </w:r>
    </w:p>
  </w:footnote>
  <w:footnote w:id="4">
    <w:p w14:paraId="06F8B80B" w14:textId="6255FD38" w:rsidR="007F0696" w:rsidRPr="007F0696" w:rsidRDefault="007F0696">
      <w:pPr>
        <w:pStyle w:val="FootnoteText"/>
        <w:rPr>
          <w:rFonts w:ascii="Century Gothic" w:hAnsi="Century Gothic"/>
          <w:sz w:val="18"/>
          <w:szCs w:val="18"/>
        </w:rPr>
      </w:pPr>
      <w:r>
        <w:rPr>
          <w:rStyle w:val="FootnoteReference"/>
          <w:rFonts w:ascii="Century Gothic" w:hAnsi="Century Gothic"/>
          <w:sz w:val="18"/>
          <w:szCs w:val="18"/>
        </w:rPr>
        <w:footnoteRef/>
      </w:r>
      <w:r>
        <w:rPr>
          <w:rFonts w:ascii="Century Gothic" w:hAnsi="Century Gothic" w:hint="eastAsia"/>
          <w:sz w:val="18"/>
          <w:szCs w:val="18"/>
        </w:rPr>
        <w:t xml:space="preserve"> </w:t>
      </w:r>
      <w:hyperlink r:id="rId3" w:history="1">
        <w:r>
          <w:rPr>
            <w:rStyle w:val="Hyperlink"/>
            <w:rFonts w:ascii="Century Gothic" w:hAnsi="Century Gothic" w:hint="eastAsia"/>
            <w:sz w:val="18"/>
            <w:szCs w:val="18"/>
          </w:rPr>
          <w:t xml:space="preserve">GAC </w:t>
        </w:r>
        <w:r>
          <w:rPr>
            <w:rStyle w:val="Hyperlink"/>
            <w:rFonts w:ascii="Century Gothic" w:hAnsi="Century Gothic" w:hint="eastAsia"/>
            <w:sz w:val="18"/>
            <w:szCs w:val="18"/>
          </w:rPr>
          <w:t>马拉喀什公报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CC198" w14:textId="10A9ACB9" w:rsidR="00265E52" w:rsidRDefault="00265E52" w:rsidP="00840188">
    <w:pPr>
      <w:pStyle w:val="Header"/>
      <w:tabs>
        <w:tab w:val="clear" w:pos="4680"/>
        <w:tab w:val="clear" w:pos="9360"/>
      </w:tabs>
      <w:jc w:val="right"/>
    </w:pPr>
    <w:r>
      <w:rPr>
        <w:rFonts w:hint="eastAsia"/>
        <w:noProof/>
        <w:lang w:val="en-US" w:bidi="th-T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62CC8F" wp14:editId="125304C3">
              <wp:simplePos x="0" y="0"/>
              <wp:positionH relativeFrom="column">
                <wp:posOffset>4532731</wp:posOffset>
              </wp:positionH>
              <wp:positionV relativeFrom="paragraph">
                <wp:posOffset>223567</wp:posOffset>
              </wp:positionV>
              <wp:extent cx="1340485" cy="46561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465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23E30" w14:textId="77777777" w:rsidR="00265E52" w:rsidRPr="0091773C" w:rsidRDefault="00265E52" w:rsidP="00840188">
                          <w:pPr>
                            <w:autoSpaceDE w:val="0"/>
                            <w:autoSpaceDN w:val="0"/>
                            <w:jc w:val="right"/>
                            <w:rPr>
                              <w:rFonts w:ascii="Arial Narrow" w:hAnsi="Arial Narrow" w:hint="eastAsia"/>
                              <w:color w:val="C4591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 w:hint="eastAsia"/>
                              <w:color w:val="C45911"/>
                              <w:sz w:val="32"/>
                              <w:szCs w:val="32"/>
                            </w:rPr>
                            <w:t xml:space="preserve">GAC </w:t>
                          </w:r>
                          <w:r>
                            <w:rPr>
                              <w:rFonts w:ascii="Arial Narrow" w:hAnsi="Arial Narrow" w:hint="eastAsia"/>
                              <w:color w:val="C45911"/>
                              <w:sz w:val="32"/>
                              <w:szCs w:val="32"/>
                            </w:rPr>
                            <w:t>秘书处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2CC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6.9pt;margin-top:17.6pt;width:105.55pt;height:3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" stroked="f">
              <v:textbox>
                <w:txbxContent>
                  <w:p w14:paraId="60A23E30" w14:textId="77777777" w:rsidR="00265E52" w:rsidRPr="0091773C" w:rsidRDefault="00265E52" w:rsidP="00840188">
                    <w:pPr>
                      <w:autoSpaceDE w:val="0"/>
                      <w:autoSpaceDN w:val="0"/>
                      <w:jc w:val="right"/>
                      <w:rPr>
                        <w:rFonts w:ascii="Arial Narrow" w:hAnsi="Arial Narrow" w:hint="eastAsia"/>
                        <w:color w:val="C45911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 w:hint="eastAsia"/>
                        <w:color w:val="C45911"/>
                        <w:sz w:val="32"/>
                        <w:szCs w:val="32"/>
                      </w:rPr>
                      <w:t xml:space="preserve">GAC </w:t>
                    </w:r>
                    <w:r>
                      <w:rPr>
                        <w:rFonts w:ascii="Arial Narrow" w:hAnsi="Arial Narrow" w:hint="eastAsia"/>
                        <w:color w:val="C45911"/>
                        <w:sz w:val="32"/>
                        <w:szCs w:val="32"/>
                      </w:rPr>
                      <w:t>秘书处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n-US" w:bidi="th-TH"/>
      </w:rPr>
      <w:drawing>
        <wp:inline distT="0" distB="0" distL="0" distR="0" wp14:anchorId="2807CE83" wp14:editId="4E8A2DEA">
          <wp:extent cx="457200" cy="293077"/>
          <wp:effectExtent l="0" t="0" r="0" b="12065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93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noProof/>
        <w:lang w:val="en-US" w:bidi="th-T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1037EF" wp14:editId="573EA211">
              <wp:simplePos x="0" y="0"/>
              <wp:positionH relativeFrom="column">
                <wp:posOffset>4536440</wp:posOffset>
              </wp:positionH>
              <wp:positionV relativeFrom="paragraph">
                <wp:posOffset>222885</wp:posOffset>
              </wp:positionV>
              <wp:extent cx="1340485" cy="297815"/>
              <wp:effectExtent l="0" t="0" r="0" b="698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342CE0B" w14:textId="77777777" w:rsidR="00265E52" w:rsidRPr="002276FD" w:rsidRDefault="00265E52" w:rsidP="00CD30A8">
                          <w:pPr>
                            <w:ind w:left="-142"/>
                            <w:rPr>
                              <w:rFonts w:ascii="Arial Narrow" w:hAnsi="Arial Narrow"/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 w:hint="eastAsia"/>
                              <w:color w:val="C45911" w:themeColor="accent2" w:themeShade="BF"/>
                              <w:sz w:val="32"/>
                              <w:szCs w:val="32"/>
                            </w:rPr>
                            <w:t xml:space="preserve">GAC </w:t>
                          </w:r>
                          <w:r>
                            <w:rPr>
                              <w:rFonts w:ascii="Arial Narrow" w:hAnsi="Arial Narrow" w:hint="eastAsia"/>
                              <w:color w:val="C45911" w:themeColor="accent2" w:themeShade="BF"/>
                              <w:sz w:val="32"/>
                              <w:szCs w:val="32"/>
                            </w:rPr>
                            <w:t>秘书处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037EF" id="Text Box 4" o:spid="_x0000_s1027" type="#_x0000_t202" style="position:absolute;left:0;text-align:left;margin-left:357.2pt;margin-top:17.55pt;width:105.55pt;height:2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" stroked="f">
              <v:textbox>
                <w:txbxContent>
                  <w:p w14:paraId="5342CE0B" w14:textId="77777777" w:rsidR="00265E52" w:rsidRPr="002276FD" w:rsidRDefault="00265E52" w:rsidP="00CD30A8">
                    <w:pPr>
                      <w:ind w:left="-142"/>
                      <w:rPr>
                        <w:rFonts w:ascii="Arial Narrow" w:hAnsi="Arial Narrow"/>
                        <w:color w:val="C45911" w:themeColor="accent2" w:themeShade="BF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 w:hint="eastAsia"/>
                        <w:color w:val="C45911" w:themeColor="accent2" w:themeShade="BF"/>
                        <w:sz w:val="32"/>
                        <w:szCs w:val="32"/>
                      </w:rPr>
                      <w:t xml:space="preserve">GAC </w:t>
                    </w:r>
                    <w:r>
                      <w:rPr>
                        <w:rFonts w:ascii="Arial Narrow" w:hAnsi="Arial Narrow" w:hint="eastAsia"/>
                        <w:color w:val="C45911" w:themeColor="accent2" w:themeShade="BF"/>
                        <w:sz w:val="32"/>
                        <w:szCs w:val="32"/>
                      </w:rPr>
                      <w:t>秘书处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D2F92" w14:textId="77777777" w:rsidR="00265E52" w:rsidRDefault="00265E52" w:rsidP="00C2562C">
    <w:pPr>
      <w:pStyle w:val="Header"/>
      <w:tabs>
        <w:tab w:val="clear" w:pos="9360"/>
      </w:tabs>
      <w:ind w:left="-851"/>
      <w:jc w:val="center"/>
    </w:pPr>
    <w:r>
      <w:rPr>
        <w:rFonts w:hint="eastAsia"/>
        <w:noProof/>
        <w:lang w:val="en-US" w:bidi="th-TH"/>
      </w:rPr>
      <w:drawing>
        <wp:inline distT="0" distB="0" distL="0" distR="0" wp14:anchorId="18DC42A4" wp14:editId="54F54699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2B4F4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428C4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B82D0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1F2F7D65"/>
    <w:multiLevelType w:val="hybridMultilevel"/>
    <w:tmpl w:val="C910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43D24"/>
    <w:multiLevelType w:val="hybridMultilevel"/>
    <w:tmpl w:val="B82E60D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14971"/>
    <w:multiLevelType w:val="hybridMultilevel"/>
    <w:tmpl w:val="58CA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65CDC"/>
    <w:multiLevelType w:val="hybridMultilevel"/>
    <w:tmpl w:val="6EBA7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A3FD3"/>
    <w:multiLevelType w:val="hybridMultilevel"/>
    <w:tmpl w:val="A208896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31011F"/>
    <w:multiLevelType w:val="multilevel"/>
    <w:tmpl w:val="6BB6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F70D48"/>
    <w:multiLevelType w:val="hybridMultilevel"/>
    <w:tmpl w:val="4EF6B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F5318"/>
    <w:multiLevelType w:val="hybridMultilevel"/>
    <w:tmpl w:val="A88A34A0"/>
    <w:lvl w:ilvl="0" w:tplc="66068FF0">
      <w:start w:val="1"/>
      <w:numFmt w:val="bullet"/>
      <w:pStyle w:val="ListBullet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61F4139C"/>
    <w:multiLevelType w:val="hybridMultilevel"/>
    <w:tmpl w:val="531E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F127E"/>
    <w:multiLevelType w:val="hybridMultilevel"/>
    <w:tmpl w:val="5DC81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598B"/>
    <w:multiLevelType w:val="hybridMultilevel"/>
    <w:tmpl w:val="F73A07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B208F4"/>
    <w:multiLevelType w:val="hybridMultilevel"/>
    <w:tmpl w:val="9EF4A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CC7DE8"/>
    <w:multiLevelType w:val="hybridMultilevel"/>
    <w:tmpl w:val="8B326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422F5B"/>
    <w:multiLevelType w:val="hybridMultilevel"/>
    <w:tmpl w:val="07826F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437814"/>
    <w:multiLevelType w:val="hybridMultilevel"/>
    <w:tmpl w:val="E72E63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9E28B0"/>
    <w:multiLevelType w:val="hybridMultilevel"/>
    <w:tmpl w:val="AADAE810"/>
    <w:lvl w:ilvl="0" w:tplc="7B98F9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18"/>
  </w:num>
  <w:num w:numId="8">
    <w:abstractNumId w:val="11"/>
  </w:num>
  <w:num w:numId="9">
    <w:abstractNumId w:val="16"/>
  </w:num>
  <w:num w:numId="10">
    <w:abstractNumId w:val="8"/>
  </w:num>
  <w:num w:numId="11">
    <w:abstractNumId w:val="7"/>
  </w:num>
  <w:num w:numId="12">
    <w:abstractNumId w:val="9"/>
  </w:num>
  <w:num w:numId="13">
    <w:abstractNumId w:val="17"/>
  </w:num>
  <w:num w:numId="14">
    <w:abstractNumId w:val="13"/>
  </w:num>
  <w:num w:numId="15">
    <w:abstractNumId w:val="15"/>
  </w:num>
  <w:num w:numId="16">
    <w:abstractNumId w:val="14"/>
  </w:num>
  <w:num w:numId="17">
    <w:abstractNumId w:val="12"/>
  </w:num>
  <w:num w:numId="18">
    <w:abstractNumId w:val="4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grammar="clean"/>
  <w:attachedTemplate r:id="rId1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useAltKinsokuLineBreakRules/>
    <w:useAnsiKerningPair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3D6"/>
    <w:rsid w:val="00000949"/>
    <w:rsid w:val="000121B8"/>
    <w:rsid w:val="00017DDB"/>
    <w:rsid w:val="00023512"/>
    <w:rsid w:val="00023E59"/>
    <w:rsid w:val="0002714F"/>
    <w:rsid w:val="000328A2"/>
    <w:rsid w:val="0007760C"/>
    <w:rsid w:val="00083BC8"/>
    <w:rsid w:val="0008562A"/>
    <w:rsid w:val="00085A36"/>
    <w:rsid w:val="000964B7"/>
    <w:rsid w:val="000A1076"/>
    <w:rsid w:val="000B6365"/>
    <w:rsid w:val="000C0FD7"/>
    <w:rsid w:val="000C5167"/>
    <w:rsid w:val="000C6B2E"/>
    <w:rsid w:val="000C7897"/>
    <w:rsid w:val="000D1296"/>
    <w:rsid w:val="000F083F"/>
    <w:rsid w:val="000F5927"/>
    <w:rsid w:val="000F794C"/>
    <w:rsid w:val="00101754"/>
    <w:rsid w:val="00102247"/>
    <w:rsid w:val="00123E04"/>
    <w:rsid w:val="00124881"/>
    <w:rsid w:val="001373A0"/>
    <w:rsid w:val="00141874"/>
    <w:rsid w:val="00142EBB"/>
    <w:rsid w:val="00144B1B"/>
    <w:rsid w:val="00147E65"/>
    <w:rsid w:val="001577F4"/>
    <w:rsid w:val="0016195D"/>
    <w:rsid w:val="00181D77"/>
    <w:rsid w:val="00184A6B"/>
    <w:rsid w:val="001A5355"/>
    <w:rsid w:val="001A541E"/>
    <w:rsid w:val="001A6E2E"/>
    <w:rsid w:val="001B337F"/>
    <w:rsid w:val="001B35DE"/>
    <w:rsid w:val="001D03CE"/>
    <w:rsid w:val="001D0AB7"/>
    <w:rsid w:val="001D1DEB"/>
    <w:rsid w:val="001D64DD"/>
    <w:rsid w:val="001E5D6D"/>
    <w:rsid w:val="001F797E"/>
    <w:rsid w:val="00203D87"/>
    <w:rsid w:val="002058E1"/>
    <w:rsid w:val="00207ED8"/>
    <w:rsid w:val="002110FA"/>
    <w:rsid w:val="0021772D"/>
    <w:rsid w:val="0022503D"/>
    <w:rsid w:val="002276FD"/>
    <w:rsid w:val="002342A7"/>
    <w:rsid w:val="002473AD"/>
    <w:rsid w:val="00250279"/>
    <w:rsid w:val="00265E52"/>
    <w:rsid w:val="00265F90"/>
    <w:rsid w:val="00273354"/>
    <w:rsid w:val="00276F47"/>
    <w:rsid w:val="00287DA6"/>
    <w:rsid w:val="00293161"/>
    <w:rsid w:val="00294D4F"/>
    <w:rsid w:val="002A182A"/>
    <w:rsid w:val="002A1E40"/>
    <w:rsid w:val="002B5CC4"/>
    <w:rsid w:val="002B7D69"/>
    <w:rsid w:val="002C3D50"/>
    <w:rsid w:val="002C7EFF"/>
    <w:rsid w:val="00304123"/>
    <w:rsid w:val="00306036"/>
    <w:rsid w:val="00311AA0"/>
    <w:rsid w:val="00327A1A"/>
    <w:rsid w:val="003308BB"/>
    <w:rsid w:val="003401B4"/>
    <w:rsid w:val="003426C6"/>
    <w:rsid w:val="003426EE"/>
    <w:rsid w:val="00352CA5"/>
    <w:rsid w:val="00352E3D"/>
    <w:rsid w:val="003643C4"/>
    <w:rsid w:val="003644DC"/>
    <w:rsid w:val="00367D10"/>
    <w:rsid w:val="00371356"/>
    <w:rsid w:val="00384915"/>
    <w:rsid w:val="00391D09"/>
    <w:rsid w:val="00392926"/>
    <w:rsid w:val="003951BB"/>
    <w:rsid w:val="003961C1"/>
    <w:rsid w:val="003B50A3"/>
    <w:rsid w:val="003C7A05"/>
    <w:rsid w:val="003D7A8D"/>
    <w:rsid w:val="003E03CB"/>
    <w:rsid w:val="003F0D47"/>
    <w:rsid w:val="003F1F29"/>
    <w:rsid w:val="003F4225"/>
    <w:rsid w:val="003F686E"/>
    <w:rsid w:val="00400344"/>
    <w:rsid w:val="0040195C"/>
    <w:rsid w:val="00406CEE"/>
    <w:rsid w:val="00412A64"/>
    <w:rsid w:val="00416093"/>
    <w:rsid w:val="004201C4"/>
    <w:rsid w:val="0042169D"/>
    <w:rsid w:val="004256A5"/>
    <w:rsid w:val="004353D1"/>
    <w:rsid w:val="00440B47"/>
    <w:rsid w:val="00454CBD"/>
    <w:rsid w:val="0045612A"/>
    <w:rsid w:val="00460A7C"/>
    <w:rsid w:val="00463411"/>
    <w:rsid w:val="00466E60"/>
    <w:rsid w:val="00472524"/>
    <w:rsid w:val="00472AE4"/>
    <w:rsid w:val="00481C0C"/>
    <w:rsid w:val="00482610"/>
    <w:rsid w:val="004837E2"/>
    <w:rsid w:val="00483D9D"/>
    <w:rsid w:val="00492E56"/>
    <w:rsid w:val="0049600A"/>
    <w:rsid w:val="004A18F6"/>
    <w:rsid w:val="004A35BB"/>
    <w:rsid w:val="004A47B9"/>
    <w:rsid w:val="004A58B8"/>
    <w:rsid w:val="004A76DE"/>
    <w:rsid w:val="004B6776"/>
    <w:rsid w:val="004B6A85"/>
    <w:rsid w:val="004E22C7"/>
    <w:rsid w:val="004E2498"/>
    <w:rsid w:val="004E4B74"/>
    <w:rsid w:val="0051347B"/>
    <w:rsid w:val="00517E99"/>
    <w:rsid w:val="00532323"/>
    <w:rsid w:val="0054429B"/>
    <w:rsid w:val="005562E5"/>
    <w:rsid w:val="0055717A"/>
    <w:rsid w:val="005716B7"/>
    <w:rsid w:val="00573397"/>
    <w:rsid w:val="0057629A"/>
    <w:rsid w:val="0057629C"/>
    <w:rsid w:val="00577F86"/>
    <w:rsid w:val="00580A87"/>
    <w:rsid w:val="005A2B8D"/>
    <w:rsid w:val="005C09C7"/>
    <w:rsid w:val="005C163D"/>
    <w:rsid w:val="005C62A7"/>
    <w:rsid w:val="005D4B3C"/>
    <w:rsid w:val="005D6F61"/>
    <w:rsid w:val="005E2917"/>
    <w:rsid w:val="005F2D09"/>
    <w:rsid w:val="0061016F"/>
    <w:rsid w:val="0061408A"/>
    <w:rsid w:val="0061550E"/>
    <w:rsid w:val="00624AEC"/>
    <w:rsid w:val="0063569C"/>
    <w:rsid w:val="00635F0B"/>
    <w:rsid w:val="00647BBA"/>
    <w:rsid w:val="00652018"/>
    <w:rsid w:val="00656C07"/>
    <w:rsid w:val="006735F6"/>
    <w:rsid w:val="00673F9B"/>
    <w:rsid w:val="006762B8"/>
    <w:rsid w:val="0067792E"/>
    <w:rsid w:val="00683C6C"/>
    <w:rsid w:val="00685BA3"/>
    <w:rsid w:val="00696FFE"/>
    <w:rsid w:val="006A3757"/>
    <w:rsid w:val="006B7BEC"/>
    <w:rsid w:val="006E28C6"/>
    <w:rsid w:val="006E5066"/>
    <w:rsid w:val="006E5C0F"/>
    <w:rsid w:val="0070074A"/>
    <w:rsid w:val="0071629B"/>
    <w:rsid w:val="00722431"/>
    <w:rsid w:val="0072423D"/>
    <w:rsid w:val="00726B93"/>
    <w:rsid w:val="00731C3E"/>
    <w:rsid w:val="00733E56"/>
    <w:rsid w:val="00736CC9"/>
    <w:rsid w:val="00740F60"/>
    <w:rsid w:val="00743A93"/>
    <w:rsid w:val="007670C2"/>
    <w:rsid w:val="00767C65"/>
    <w:rsid w:val="00787F8F"/>
    <w:rsid w:val="007A174E"/>
    <w:rsid w:val="007A7FA6"/>
    <w:rsid w:val="007C3742"/>
    <w:rsid w:val="007C469F"/>
    <w:rsid w:val="007D32B7"/>
    <w:rsid w:val="007E1AD3"/>
    <w:rsid w:val="007E6F9A"/>
    <w:rsid w:val="007F0696"/>
    <w:rsid w:val="007F633A"/>
    <w:rsid w:val="007F7962"/>
    <w:rsid w:val="00803F79"/>
    <w:rsid w:val="00804134"/>
    <w:rsid w:val="00815A76"/>
    <w:rsid w:val="00817EAC"/>
    <w:rsid w:val="00831E94"/>
    <w:rsid w:val="00832606"/>
    <w:rsid w:val="00832757"/>
    <w:rsid w:val="00832AEE"/>
    <w:rsid w:val="00840188"/>
    <w:rsid w:val="00841F67"/>
    <w:rsid w:val="008433FC"/>
    <w:rsid w:val="00854588"/>
    <w:rsid w:val="00860F68"/>
    <w:rsid w:val="00866FF8"/>
    <w:rsid w:val="0087241F"/>
    <w:rsid w:val="00873893"/>
    <w:rsid w:val="00876A55"/>
    <w:rsid w:val="0087723B"/>
    <w:rsid w:val="00880308"/>
    <w:rsid w:val="008822A3"/>
    <w:rsid w:val="00882354"/>
    <w:rsid w:val="00882E28"/>
    <w:rsid w:val="008930C3"/>
    <w:rsid w:val="00897328"/>
    <w:rsid w:val="008A4120"/>
    <w:rsid w:val="008B20BD"/>
    <w:rsid w:val="008B442C"/>
    <w:rsid w:val="008C4F95"/>
    <w:rsid w:val="008D3421"/>
    <w:rsid w:val="008D72E9"/>
    <w:rsid w:val="008F1AF4"/>
    <w:rsid w:val="008F6CB0"/>
    <w:rsid w:val="009123B6"/>
    <w:rsid w:val="00914215"/>
    <w:rsid w:val="0091532B"/>
    <w:rsid w:val="0091793A"/>
    <w:rsid w:val="009210C3"/>
    <w:rsid w:val="009217C9"/>
    <w:rsid w:val="00927979"/>
    <w:rsid w:val="00935124"/>
    <w:rsid w:val="00936441"/>
    <w:rsid w:val="00960831"/>
    <w:rsid w:val="0099631A"/>
    <w:rsid w:val="009A3A9F"/>
    <w:rsid w:val="009A5F69"/>
    <w:rsid w:val="009B5DA7"/>
    <w:rsid w:val="009B79A6"/>
    <w:rsid w:val="009C757D"/>
    <w:rsid w:val="009C77A8"/>
    <w:rsid w:val="009D5A26"/>
    <w:rsid w:val="009F0BC1"/>
    <w:rsid w:val="009F47C8"/>
    <w:rsid w:val="00A07882"/>
    <w:rsid w:val="00A10D81"/>
    <w:rsid w:val="00A172FA"/>
    <w:rsid w:val="00A243F9"/>
    <w:rsid w:val="00A24449"/>
    <w:rsid w:val="00A34B20"/>
    <w:rsid w:val="00A36228"/>
    <w:rsid w:val="00A3629D"/>
    <w:rsid w:val="00A40DB0"/>
    <w:rsid w:val="00A44B9B"/>
    <w:rsid w:val="00A65D76"/>
    <w:rsid w:val="00A660EB"/>
    <w:rsid w:val="00A67F51"/>
    <w:rsid w:val="00A80A68"/>
    <w:rsid w:val="00A85AE0"/>
    <w:rsid w:val="00A86B36"/>
    <w:rsid w:val="00A92158"/>
    <w:rsid w:val="00A97410"/>
    <w:rsid w:val="00AA0126"/>
    <w:rsid w:val="00AA3927"/>
    <w:rsid w:val="00AA6D42"/>
    <w:rsid w:val="00AC1BD6"/>
    <w:rsid w:val="00AC209F"/>
    <w:rsid w:val="00AC3F95"/>
    <w:rsid w:val="00AC5490"/>
    <w:rsid w:val="00AC54BB"/>
    <w:rsid w:val="00AD1076"/>
    <w:rsid w:val="00AE0D58"/>
    <w:rsid w:val="00AE686B"/>
    <w:rsid w:val="00AF4291"/>
    <w:rsid w:val="00B026C8"/>
    <w:rsid w:val="00B1475A"/>
    <w:rsid w:val="00B156C6"/>
    <w:rsid w:val="00B21330"/>
    <w:rsid w:val="00B21344"/>
    <w:rsid w:val="00B22FE8"/>
    <w:rsid w:val="00B26B58"/>
    <w:rsid w:val="00B411B1"/>
    <w:rsid w:val="00B53525"/>
    <w:rsid w:val="00B719E4"/>
    <w:rsid w:val="00B72D49"/>
    <w:rsid w:val="00BA0533"/>
    <w:rsid w:val="00BA3EC6"/>
    <w:rsid w:val="00BA5116"/>
    <w:rsid w:val="00BA78FE"/>
    <w:rsid w:val="00BB7588"/>
    <w:rsid w:val="00BD713C"/>
    <w:rsid w:val="00BE0774"/>
    <w:rsid w:val="00BE48F0"/>
    <w:rsid w:val="00BE4F32"/>
    <w:rsid w:val="00C144AE"/>
    <w:rsid w:val="00C163C0"/>
    <w:rsid w:val="00C20205"/>
    <w:rsid w:val="00C21952"/>
    <w:rsid w:val="00C249CB"/>
    <w:rsid w:val="00C2536D"/>
    <w:rsid w:val="00C2562C"/>
    <w:rsid w:val="00C26F6D"/>
    <w:rsid w:val="00C3155A"/>
    <w:rsid w:val="00C3454E"/>
    <w:rsid w:val="00C3504F"/>
    <w:rsid w:val="00C40474"/>
    <w:rsid w:val="00C50C2C"/>
    <w:rsid w:val="00C77E9F"/>
    <w:rsid w:val="00C82A7F"/>
    <w:rsid w:val="00C8398F"/>
    <w:rsid w:val="00C86683"/>
    <w:rsid w:val="00C90D1C"/>
    <w:rsid w:val="00C93A60"/>
    <w:rsid w:val="00C95320"/>
    <w:rsid w:val="00C9701E"/>
    <w:rsid w:val="00CB0EA0"/>
    <w:rsid w:val="00CD30A8"/>
    <w:rsid w:val="00CD3B8C"/>
    <w:rsid w:val="00CD57F8"/>
    <w:rsid w:val="00CF0606"/>
    <w:rsid w:val="00CF4236"/>
    <w:rsid w:val="00CF4E9A"/>
    <w:rsid w:val="00D01CBD"/>
    <w:rsid w:val="00D049CB"/>
    <w:rsid w:val="00D07C27"/>
    <w:rsid w:val="00D10848"/>
    <w:rsid w:val="00D10DB6"/>
    <w:rsid w:val="00D11495"/>
    <w:rsid w:val="00D12CEE"/>
    <w:rsid w:val="00D1448B"/>
    <w:rsid w:val="00D22E4A"/>
    <w:rsid w:val="00D3158D"/>
    <w:rsid w:val="00D34405"/>
    <w:rsid w:val="00D40927"/>
    <w:rsid w:val="00D41280"/>
    <w:rsid w:val="00D41B02"/>
    <w:rsid w:val="00D46C24"/>
    <w:rsid w:val="00D543D6"/>
    <w:rsid w:val="00D56760"/>
    <w:rsid w:val="00D667A4"/>
    <w:rsid w:val="00D6799D"/>
    <w:rsid w:val="00D725B5"/>
    <w:rsid w:val="00D7384E"/>
    <w:rsid w:val="00D86EA8"/>
    <w:rsid w:val="00D9442D"/>
    <w:rsid w:val="00D97BFC"/>
    <w:rsid w:val="00DA148D"/>
    <w:rsid w:val="00DA436F"/>
    <w:rsid w:val="00DB0A4C"/>
    <w:rsid w:val="00DB0B78"/>
    <w:rsid w:val="00DB6622"/>
    <w:rsid w:val="00DB6F29"/>
    <w:rsid w:val="00DE173D"/>
    <w:rsid w:val="00DE621B"/>
    <w:rsid w:val="00DF2FD4"/>
    <w:rsid w:val="00DF5B00"/>
    <w:rsid w:val="00E00260"/>
    <w:rsid w:val="00E016F8"/>
    <w:rsid w:val="00E0271A"/>
    <w:rsid w:val="00E06E56"/>
    <w:rsid w:val="00E13252"/>
    <w:rsid w:val="00E13B4B"/>
    <w:rsid w:val="00E15156"/>
    <w:rsid w:val="00E16AE4"/>
    <w:rsid w:val="00E3060B"/>
    <w:rsid w:val="00E445FE"/>
    <w:rsid w:val="00E52A32"/>
    <w:rsid w:val="00E5754C"/>
    <w:rsid w:val="00E57BDD"/>
    <w:rsid w:val="00E57EA6"/>
    <w:rsid w:val="00E70B81"/>
    <w:rsid w:val="00E7196B"/>
    <w:rsid w:val="00E838B6"/>
    <w:rsid w:val="00E90B6D"/>
    <w:rsid w:val="00E9134A"/>
    <w:rsid w:val="00E93242"/>
    <w:rsid w:val="00EA3A02"/>
    <w:rsid w:val="00EA7409"/>
    <w:rsid w:val="00EB3FD2"/>
    <w:rsid w:val="00EC1F81"/>
    <w:rsid w:val="00EC3D26"/>
    <w:rsid w:val="00EC45DC"/>
    <w:rsid w:val="00ED0B4F"/>
    <w:rsid w:val="00ED1EDB"/>
    <w:rsid w:val="00EF2D04"/>
    <w:rsid w:val="00F01779"/>
    <w:rsid w:val="00F0619E"/>
    <w:rsid w:val="00F10ACB"/>
    <w:rsid w:val="00F10C43"/>
    <w:rsid w:val="00F21D6A"/>
    <w:rsid w:val="00F21D76"/>
    <w:rsid w:val="00F35CBA"/>
    <w:rsid w:val="00F4462E"/>
    <w:rsid w:val="00F46F4F"/>
    <w:rsid w:val="00F4768C"/>
    <w:rsid w:val="00F50E4C"/>
    <w:rsid w:val="00F635A2"/>
    <w:rsid w:val="00F723E5"/>
    <w:rsid w:val="00F73377"/>
    <w:rsid w:val="00F77C52"/>
    <w:rsid w:val="00F80CBA"/>
    <w:rsid w:val="00F81B80"/>
    <w:rsid w:val="00F81B9D"/>
    <w:rsid w:val="00F84050"/>
    <w:rsid w:val="00F96D2C"/>
    <w:rsid w:val="00FC724F"/>
    <w:rsid w:val="00FE75DF"/>
    <w:rsid w:val="00FE77E2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2283C4"/>
  <w15:docId w15:val="{2D9A9B17-1176-45B3-8CA4-06D3E6D3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SimSun" w:hAnsi="Century Gothic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CEE"/>
    <w:rPr>
      <w:rFonts w:ascii="Calibri" w:hAnsi="Calibri"/>
      <w:sz w:val="24"/>
      <w:szCs w:val="24"/>
      <w:lang w:val="en-US"/>
    </w:rPr>
  </w:style>
  <w:style w:type="paragraph" w:styleId="Heading1">
    <w:name w:val="heading 1"/>
    <w:next w:val="BodyText"/>
    <w:link w:val="Heading1Ch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D10DB6"/>
    <w:pPr>
      <w:keepNext/>
      <w:keepLines/>
      <w:ind w:right="545"/>
      <w:outlineLvl w:val="1"/>
    </w:pPr>
    <w:rPr>
      <w:b/>
      <w:color w:val="00408E"/>
      <w:sz w:val="24"/>
      <w:szCs w:val="24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0DB6"/>
    <w:rPr>
      <w:b/>
      <w:color w:val="00408E"/>
      <w:sz w:val="24"/>
      <w:szCs w:val="24"/>
      <w:lang w:eastAsia="zh-CN"/>
    </w:rPr>
  </w:style>
  <w:style w:type="paragraph" w:styleId="TO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Header">
    <w:name w:val="header"/>
    <w:basedOn w:val="BodyText"/>
    <w:link w:val="HeaderCh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076"/>
    <w:rPr>
      <w:rFonts w:ascii="Century Gothic" w:eastAsia="SimSun" w:hAnsi="Century Gothic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hAnsi="Century Gothic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4449"/>
    <w:rPr>
      <w:rFonts w:ascii="Century Gothic" w:eastAsia="SimSun" w:hAnsi="Century Gothic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CF4E9A"/>
    <w:rPr>
      <w:b/>
      <w:color w:val="00408E"/>
      <w:sz w:val="28"/>
      <w:szCs w:val="28"/>
      <w:lang w:val="en-AU" w:eastAsia="zh-CN" w:bidi="ar-SA"/>
    </w:rPr>
  </w:style>
  <w:style w:type="paragraph" w:styleId="Title">
    <w:name w:val="Title"/>
    <w:basedOn w:val="BodyText"/>
    <w:next w:val="BodyText"/>
    <w:link w:val="TitleCh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BodyText">
    <w:name w:val="Body Text"/>
    <w:link w:val="BodyTextChar"/>
    <w:uiPriority w:val="99"/>
    <w:unhideWhenUsed/>
    <w:qFormat/>
    <w:rsid w:val="004E22C7"/>
    <w:pPr>
      <w:spacing w:after="200" w:line="276" w:lineRule="auto"/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E22C7"/>
    <w:rPr>
      <w:szCs w:val="22"/>
      <w:lang w:val="en-AU" w:eastAsia="zh-CN" w:bidi="ar-SA"/>
    </w:rPr>
  </w:style>
  <w:style w:type="character" w:customStyle="1" w:styleId="TitleChar">
    <w:name w:val="Title Char"/>
    <w:basedOn w:val="DefaultParagraphFont"/>
    <w:link w:val="Title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en-AU"/>
    </w:rPr>
  </w:style>
  <w:style w:type="character" w:styleId="Hyperlink">
    <w:name w:val="Hyperlink"/>
    <w:basedOn w:val="DefaultParagraphFont"/>
    <w:uiPriority w:val="99"/>
    <w:unhideWhenUsed/>
    <w:rsid w:val="0072423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4E9A"/>
    <w:rPr>
      <w:b/>
      <w:color w:val="00408E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4E22C7"/>
    <w:rPr>
      <w:color w:val="00408E"/>
      <w:szCs w:val="22"/>
      <w:lang w:val="en-AU"/>
    </w:rPr>
  </w:style>
  <w:style w:type="paragraph" w:styleId="ListBullet">
    <w:name w:val="List Bullet"/>
    <w:basedOn w:val="ListBullet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Bullet2">
    <w:name w:val="List Bullet 2"/>
    <w:basedOn w:val="ListBullet"/>
    <w:uiPriority w:val="99"/>
    <w:unhideWhenUsed/>
    <w:rsid w:val="008C4F95"/>
    <w:pPr>
      <w:numPr>
        <w:numId w:val="4"/>
      </w:numPr>
      <w:tabs>
        <w:tab w:val="num" w:pos="1492"/>
      </w:tabs>
      <w:ind w:left="993"/>
    </w:pPr>
  </w:style>
  <w:style w:type="paragraph" w:styleId="ListContinue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hAnsi="Century Gothic"/>
      <w:sz w:val="20"/>
      <w:szCs w:val="22"/>
    </w:rPr>
  </w:style>
  <w:style w:type="paragraph" w:styleId="ListBullet3">
    <w:name w:val="List Bullet 3"/>
    <w:basedOn w:val="Normal"/>
    <w:uiPriority w:val="99"/>
    <w:unhideWhenUsed/>
    <w:rsid w:val="003961C1"/>
    <w:pPr>
      <w:numPr>
        <w:numId w:val="1"/>
      </w:numPr>
      <w:spacing w:after="200" w:line="276" w:lineRule="auto"/>
      <w:contextualSpacing/>
      <w:jc w:val="both"/>
    </w:pPr>
    <w:rPr>
      <w:rFonts w:ascii="Century Gothic" w:hAnsi="Century Gothic"/>
      <w:sz w:val="20"/>
      <w:szCs w:val="22"/>
    </w:rPr>
  </w:style>
  <w:style w:type="paragraph" w:styleId="ListBullet4">
    <w:name w:val="List Bullet 4"/>
    <w:basedOn w:val="Normal"/>
    <w:uiPriority w:val="99"/>
    <w:unhideWhenUsed/>
    <w:rsid w:val="003961C1"/>
    <w:pPr>
      <w:numPr>
        <w:numId w:val="2"/>
      </w:numPr>
      <w:spacing w:after="200" w:line="276" w:lineRule="auto"/>
      <w:contextualSpacing/>
      <w:jc w:val="both"/>
    </w:pPr>
    <w:rPr>
      <w:rFonts w:ascii="Century Gothic" w:hAnsi="Century Gothic"/>
      <w:sz w:val="20"/>
      <w:szCs w:val="22"/>
    </w:rPr>
  </w:style>
  <w:style w:type="paragraph" w:styleId="ListBullet5">
    <w:name w:val="List Bullet 5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hAnsi="Century Gothic"/>
      <w:sz w:val="20"/>
      <w:szCs w:val="22"/>
    </w:rPr>
  </w:style>
  <w:style w:type="paragraph" w:styleId="ListParagraph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hAnsi="Century Gothic"/>
      <w:sz w:val="20"/>
      <w:szCs w:val="22"/>
    </w:rPr>
  </w:style>
  <w:style w:type="paragraph" w:styleId="TOAHeading">
    <w:name w:val="toa heading"/>
    <w:basedOn w:val="Heading1"/>
    <w:next w:val="Normal"/>
    <w:uiPriority w:val="99"/>
    <w:unhideWhenUsed/>
    <w:rsid w:val="000C5167"/>
    <w:pPr>
      <w:spacing w:after="400"/>
    </w:pPr>
  </w:style>
  <w:style w:type="table" w:styleId="TableGrid">
    <w:name w:val="Table Grid"/>
    <w:basedOn w:val="Table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e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NoSpacing">
    <w:name w:val="No Spacing"/>
    <w:uiPriority w:val="1"/>
    <w:qFormat/>
    <w:rsid w:val="00C2562C"/>
    <w:pPr>
      <w:jc w:val="both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06CEE"/>
  </w:style>
  <w:style w:type="character" w:customStyle="1" w:styleId="FootnoteTextChar">
    <w:name w:val="Footnote Text Char"/>
    <w:basedOn w:val="DefaultParagraphFont"/>
    <w:link w:val="FootnoteText"/>
    <w:uiPriority w:val="99"/>
    <w:rsid w:val="00406CEE"/>
    <w:rPr>
      <w:rFonts w:ascii="Calibri" w:eastAsia="SimSun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06C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EE"/>
    <w:rPr>
      <w:rFonts w:ascii="Tahoma" w:eastAsia="SimSu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3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3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3C0"/>
    <w:rPr>
      <w:rFonts w:ascii="Calibri" w:eastAsia="SimSun" w:hAnsi="Calibri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3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3C0"/>
    <w:rPr>
      <w:rFonts w:ascii="Calibri" w:eastAsia="SimSun" w:hAnsi="Calibri"/>
      <w:b/>
      <w:bCs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C163C0"/>
    <w:rPr>
      <w:rFonts w:ascii="Calibri" w:hAnsi="Calibri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411B1"/>
    <w:pPr>
      <w:spacing w:before="100" w:beforeAutospacing="1" w:after="100" w:afterAutospacing="1"/>
    </w:pPr>
    <w:rPr>
      <w:rFonts w:ascii="Times New Roman" w:hAnsi="Times New Roman"/>
      <w:lang w:val="en-AU"/>
    </w:rPr>
  </w:style>
  <w:style w:type="character" w:styleId="Strong">
    <w:name w:val="Strong"/>
    <w:basedOn w:val="DefaultParagraphFont"/>
    <w:uiPriority w:val="22"/>
    <w:qFormat/>
    <w:rsid w:val="00656C0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6A85"/>
    <w:rPr>
      <w:color w:val="954F72" w:themeColor="followedHyperlink"/>
      <w:u w:val="single"/>
    </w:rPr>
  </w:style>
  <w:style w:type="paragraph" w:customStyle="1" w:styleId="Default">
    <w:name w:val="Default"/>
    <w:rsid w:val="008930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8724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nn.org/en/system/files/files/ccwg-acct-ws2-final-27mar18-en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munity.icann.org/pages/viewpage.action?pageId=5964328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unity.icann.org/display/WEIA/Human+Righ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ommunity.icann.org/display/WEIA/Diversity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Users/tomwdale/Downloads/Enhancing%20ICANN%20Accountability%20FINAL%20-%20Clean%20-%20Charter%20-%20updated%203%20November%202014%20(1)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ann.org/en/system/files/correspondence/gac-to-board-09mar16-en.pdf" TargetMode="External"/><Relationship Id="rId2" Type="http://schemas.openxmlformats.org/officeDocument/2006/relationships/hyperlink" Target="https://mm.icann.org/pipermail/comments-ccwg-acct-ws2-final-30mar18/attachments/20180511/7043bf04/ICANN-WS2-2emeconsultation-Juridiction-CommentairesduGouvernementfrancais-0001.pdf" TargetMode="External"/><Relationship Id="rId1" Type="http://schemas.openxmlformats.org/officeDocument/2006/relationships/hyperlink" Target="https://mm.icann.org/pipermail/comments-ccwg-acct-ws2-final-30mar18/attachments/20180511/7043bf04/ICANN-WS2-2emeconsultation-Diversite-CommentairesduGouvernementfrancais-000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%20Lim\Dropbox%20(ACIG)\GAC%20Secretariat\Template%20-%20ACIG%20GAC%20Brief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EA55-CBF9-4811-9A54-025A4462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ACIG GAC Briefing.dotx</Template>
  <TotalTime>131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2736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Client's Name and/or Logo</dc:subject>
  <dc:creator>Tracey</dc:creator>
  <cp:lastModifiedBy>Author</cp:lastModifiedBy>
  <cp:revision>27</cp:revision>
  <cp:lastPrinted>2018-06-29T08:53:00Z</cp:lastPrinted>
  <dcterms:created xsi:type="dcterms:W3CDTF">2018-05-28T03:59:00Z</dcterms:created>
  <dcterms:modified xsi:type="dcterms:W3CDTF">2018-06-29T08:55:00Z</dcterms:modified>
</cp:coreProperties>
</file>